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1211" w14:textId="77777777" w:rsidR="00D24D86" w:rsidRDefault="00D24D86" w:rsidP="00757588">
      <w:pPr>
        <w:ind w:right="1531"/>
        <w:jc w:val="both"/>
        <w:rPr>
          <w:b/>
          <w:sz w:val="28"/>
        </w:rPr>
      </w:pPr>
    </w:p>
    <w:p w14:paraId="0D23DE6F" w14:textId="77777777" w:rsidR="00D24D86" w:rsidRDefault="00D24D86" w:rsidP="00757588">
      <w:pPr>
        <w:ind w:right="1531"/>
        <w:jc w:val="both"/>
        <w:rPr>
          <w:b/>
          <w:sz w:val="28"/>
        </w:rPr>
      </w:pPr>
    </w:p>
    <w:p w14:paraId="5D16D96C" w14:textId="77777777" w:rsidR="00207D81" w:rsidRDefault="00207D81" w:rsidP="00757588">
      <w:pPr>
        <w:ind w:right="1531"/>
        <w:jc w:val="both"/>
        <w:rPr>
          <w:b/>
          <w:sz w:val="28"/>
        </w:rPr>
      </w:pPr>
    </w:p>
    <w:p w14:paraId="40A77165" w14:textId="59CF61C2" w:rsidR="00713379" w:rsidRPr="004A7D5D" w:rsidRDefault="00A5197D" w:rsidP="00757588">
      <w:pPr>
        <w:ind w:right="1531"/>
        <w:jc w:val="both"/>
        <w:rPr>
          <w:b/>
          <w:sz w:val="28"/>
        </w:rPr>
      </w:pPr>
      <w:r>
        <w:rPr>
          <w:b/>
          <w:sz w:val="28"/>
        </w:rPr>
        <w:t>P</w:t>
      </w:r>
      <w:r w:rsidR="00DA5E78">
        <w:rPr>
          <w:b/>
          <w:sz w:val="28"/>
        </w:rPr>
        <w:t xml:space="preserve">røvning </w:t>
      </w:r>
      <w:r w:rsidR="00C74518" w:rsidRPr="004A7D5D">
        <w:rPr>
          <w:b/>
          <w:sz w:val="28"/>
        </w:rPr>
        <w:t>af økonomisk ligevægt</w:t>
      </w:r>
    </w:p>
    <w:p w14:paraId="74627C91" w14:textId="77777777" w:rsidR="004C43C7" w:rsidRDefault="004C43C7" w:rsidP="00757588">
      <w:pPr>
        <w:ind w:right="1814"/>
        <w:jc w:val="both"/>
        <w:rPr>
          <w:b/>
        </w:rPr>
      </w:pPr>
    </w:p>
    <w:p w14:paraId="372B0FCD" w14:textId="77777777" w:rsidR="004C43C7" w:rsidRDefault="004C43C7" w:rsidP="00757588">
      <w:pPr>
        <w:ind w:right="1814"/>
        <w:jc w:val="both"/>
        <w:rPr>
          <w:b/>
        </w:rPr>
      </w:pPr>
    </w:p>
    <w:p w14:paraId="72B610B9" w14:textId="2A78689D" w:rsidR="004E7E69" w:rsidRDefault="0098157C" w:rsidP="00207D81">
      <w:pPr>
        <w:ind w:right="1814"/>
        <w:jc w:val="both"/>
        <w:rPr>
          <w:b/>
        </w:rPr>
      </w:pPr>
      <w:r>
        <w:rPr>
          <w:b/>
        </w:rPr>
        <w:t>OVERORDNEDE RAMMER</w:t>
      </w:r>
      <w:r w:rsidR="00D77797">
        <w:rPr>
          <w:b/>
        </w:rPr>
        <w:t>, PROCESSER, MV.</w:t>
      </w:r>
      <w:r>
        <w:rPr>
          <w:b/>
        </w:rPr>
        <w:t xml:space="preserve"> </w:t>
      </w:r>
      <w:r w:rsidR="00C74518" w:rsidRPr="004A7D5D">
        <w:rPr>
          <w:b/>
        </w:rPr>
        <w:t xml:space="preserve"> </w:t>
      </w:r>
    </w:p>
    <w:p w14:paraId="448FCDA4" w14:textId="71C519DD" w:rsidR="00E51F84" w:rsidRDefault="00E51F84" w:rsidP="00207D81">
      <w:pPr>
        <w:ind w:right="1104"/>
        <w:jc w:val="both"/>
      </w:pPr>
      <w:r>
        <w:t xml:space="preserve">Jernbanevirksomheder med EU-licens eller tilladelse fra Trafikstyrelsen efter jernbanelovens § 9, samt forsikring og sikkerhedscertifikat efter jernbanelovens § 58, har som udgangspunkt ret til adgang på lige vilkår til </w:t>
      </w:r>
      <w:r w:rsidR="00DF7E8D">
        <w:t xml:space="preserve">statens </w:t>
      </w:r>
      <w:r>
        <w:t>jernbaneinfrastruktur</w:t>
      </w:r>
      <w:r w:rsidR="00DF7E8D">
        <w:t xml:space="preserve">, infrastruktur ejet af A/S Storebælt, A/S Øresund, samt anden jernbaneinfrastruktur beliggende på den danske del af TEN-T-nettet, med henblik på at udføre passagertransport. </w:t>
      </w:r>
      <w:r>
        <w:t xml:space="preserve"> </w:t>
      </w:r>
    </w:p>
    <w:p w14:paraId="41BF25E7" w14:textId="54AA9351" w:rsidR="00C254D7" w:rsidRDefault="00D77797" w:rsidP="00207D81">
      <w:pPr>
        <w:ind w:right="1104"/>
        <w:jc w:val="both"/>
      </w:pPr>
      <w:r>
        <w:t>E</w:t>
      </w:r>
      <w:r w:rsidR="00C254D7">
        <w:t>n jernbanevirksomhed</w:t>
      </w:r>
      <w:r>
        <w:t>, som</w:t>
      </w:r>
      <w:r w:rsidR="00C254D7">
        <w:t xml:space="preserve"> agter at indgive ansøgning om infrastrukturkapacitet med henblik på at udføre en ny jernbanepassagerrute, skal underrette Banedanmark og Jernbanenævnet senest 18 måneder før overgangen til den pågældende køreplan, jf. Artikel 4, stk. 1, i </w:t>
      </w:r>
      <w:r w:rsidR="008B7EFD">
        <w:t>K</w:t>
      </w:r>
      <w:r w:rsidR="004A7D5D">
        <w:t xml:space="preserve">ommissionens gennemførselsforordning (EU) </w:t>
      </w:r>
      <w:r w:rsidR="008B7EFD">
        <w:t>2018</w:t>
      </w:r>
      <w:r w:rsidR="00DA5E78">
        <w:t>/</w:t>
      </w:r>
      <w:r w:rsidR="008B7EFD">
        <w:t>1795</w:t>
      </w:r>
      <w:r w:rsidR="00DA5E78">
        <w:t xml:space="preserve"> af </w:t>
      </w:r>
      <w:r w:rsidR="008B7EFD">
        <w:t>20. november 2018</w:t>
      </w:r>
      <w:r w:rsidR="00DA5E78">
        <w:t xml:space="preserve"> om </w:t>
      </w:r>
      <w:r w:rsidR="008B7EFD">
        <w:t>procedure</w:t>
      </w:r>
      <w:r w:rsidR="00281E40">
        <w:t>r</w:t>
      </w:r>
      <w:r w:rsidR="008B7EFD">
        <w:t xml:space="preserve"> og kriterier for prøvning </w:t>
      </w:r>
      <w:r w:rsidR="00F03766">
        <w:t xml:space="preserve">af </w:t>
      </w:r>
      <w:r w:rsidR="008B7EFD">
        <w:t>økonomisk ligevægt (herefter gennemførelsesforordningen)</w:t>
      </w:r>
      <w:r w:rsidR="00C254D7">
        <w:t>.</w:t>
      </w:r>
    </w:p>
    <w:p w14:paraId="5CA88C7A" w14:textId="4818EF4F" w:rsidR="00C254D7" w:rsidRDefault="00C254D7" w:rsidP="00207D81">
      <w:pPr>
        <w:ind w:right="1104"/>
        <w:jc w:val="both"/>
      </w:pPr>
      <w:r>
        <w:t xml:space="preserve">En ”ny jernbanepassagerrute” er </w:t>
      </w:r>
      <w:r w:rsidR="00326FD8">
        <w:t>i Artikel 3, nr. 1, defineret som ”</w:t>
      </w:r>
      <w:r w:rsidRPr="00326FD8">
        <w:rPr>
          <w:i/>
          <w:iCs/>
        </w:rPr>
        <w:t xml:space="preserve">en </w:t>
      </w:r>
      <w:r w:rsidR="00837B2B" w:rsidRPr="00326FD8">
        <w:rPr>
          <w:i/>
          <w:iCs/>
        </w:rPr>
        <w:t>jernbanepassagerrute, der drives som en køreplansbestemt tjeneste, der enten er helt ny, eller som indebærer en betydelig ændring af en eksisterende jernbanepassagerrute for så vidt angår en øget togfrekvens eller et øget antal stop, og som ikke er omfattet af en kontrakt om offentlig tjeneste</w:t>
      </w:r>
      <w:r w:rsidR="00326FD8">
        <w:t>”</w:t>
      </w:r>
      <w:r w:rsidR="00837B2B">
        <w:t xml:space="preserve">. </w:t>
      </w:r>
    </w:p>
    <w:p w14:paraId="63B746C3" w14:textId="4A92EDE6" w:rsidR="00D77797" w:rsidRDefault="00D77797" w:rsidP="00207D81">
      <w:pPr>
        <w:ind w:right="1104"/>
        <w:jc w:val="both"/>
      </w:pPr>
      <w:r>
        <w:t xml:space="preserve">En række informationskrav skal være opfyldte i forbindelse med jernbanevirksomhedernes anmeldelse </w:t>
      </w:r>
      <w:r w:rsidR="00AD5740">
        <w:t xml:space="preserve">til Jernbanenævnet </w:t>
      </w:r>
      <w:r>
        <w:t xml:space="preserve">om nye passagerruter, jf. gennemførelsesforordningens Artikel 4. En formular til brug for anmeldelsen </w:t>
      </w:r>
      <w:r w:rsidR="00DD0369">
        <w:t xml:space="preserve">og de dertil hørende nødvendige oplysninger </w:t>
      </w:r>
      <w:r>
        <w:t xml:space="preserve">findes på Jernbanenævnets hjemmeside. </w:t>
      </w:r>
    </w:p>
    <w:p w14:paraId="4DF79C06" w14:textId="333B9FF8" w:rsidR="00D77797" w:rsidRDefault="00D77797" w:rsidP="00207D81">
      <w:pPr>
        <w:ind w:right="1104"/>
        <w:jc w:val="both"/>
      </w:pPr>
      <w:r>
        <w:t xml:space="preserve">Efter modtagelsen af anmeldelsen </w:t>
      </w:r>
      <w:r w:rsidR="00746E06">
        <w:t>fremsender</w:t>
      </w:r>
      <w:r>
        <w:t xml:space="preserve"> Jernbanenævnet </w:t>
      </w:r>
      <w:r w:rsidR="00746E06">
        <w:t>denne indenfor 10 dage til Transportministeriet, Trafikstyrelsen</w:t>
      </w:r>
      <w:r w:rsidR="00281E40">
        <w:t xml:space="preserve"> og</w:t>
      </w:r>
      <w:r w:rsidR="00746E06">
        <w:t xml:space="preserve"> andre </w:t>
      </w:r>
      <w:r w:rsidR="00326FD8">
        <w:t>kompetente</w:t>
      </w:r>
      <w:r w:rsidR="00746E06">
        <w:t xml:space="preserve"> myndigheder, der har forhandlet en kontrakt om offentlig </w:t>
      </w:r>
      <w:r w:rsidR="00E71F1D">
        <w:t>servicetrafik</w:t>
      </w:r>
      <w:r w:rsidR="00746E06">
        <w:t xml:space="preserve"> med jernbane på den pågældende rute og berørte jernbanevirksomheder. </w:t>
      </w:r>
    </w:p>
    <w:p w14:paraId="776B23CB" w14:textId="3E9A5920" w:rsidR="004C43C7" w:rsidRDefault="00326FD8" w:rsidP="00207D81">
      <w:pPr>
        <w:ind w:right="1104"/>
        <w:jc w:val="both"/>
        <w:rPr>
          <w:bCs/>
          <w:sz w:val="18"/>
          <w:szCs w:val="18"/>
        </w:rPr>
      </w:pPr>
      <w:r>
        <w:t xml:space="preserve">Førnævnte aktører </w:t>
      </w:r>
      <w:r w:rsidR="00093B8F">
        <w:t xml:space="preserve">kan </w:t>
      </w:r>
      <w:r w:rsidR="00174B50">
        <w:t xml:space="preserve">herefter indenfor 1 måned </w:t>
      </w:r>
      <w:r w:rsidR="004C43C7" w:rsidRPr="004C43C7">
        <w:t xml:space="preserve">indgive anmodning til </w:t>
      </w:r>
      <w:r w:rsidR="00D24D86">
        <w:t xml:space="preserve">Jernbanenævnet </w:t>
      </w:r>
      <w:r w:rsidR="004C43C7" w:rsidRPr="004C43C7">
        <w:t>om, at adgangen for en ny markedsaktør begrænses af hensyn til at undgå økonomisk ubalance i en kontrakt om offentlig servicetrafik.</w:t>
      </w:r>
    </w:p>
    <w:p w14:paraId="60DE82D0" w14:textId="77777777" w:rsidR="00093B8F" w:rsidRDefault="00093B8F" w:rsidP="00207D81">
      <w:pPr>
        <w:ind w:right="1104"/>
        <w:jc w:val="both"/>
      </w:pPr>
      <w:r>
        <w:t xml:space="preserve">En anmodning til Jernbanenævnet om begrænsning af adgangen for en ny markedsaktør vil alene blive behandlet, </w:t>
      </w:r>
      <w:proofErr w:type="gramStart"/>
      <w:r>
        <w:t>såfremt</w:t>
      </w:r>
      <w:proofErr w:type="gramEnd"/>
      <w:r>
        <w:t xml:space="preserve"> anmodningen opfylder en række detaljerede informationskrav, jf. gennemførelsesforordniningens Artikel 7. </w:t>
      </w:r>
    </w:p>
    <w:p w14:paraId="58FB7C42" w14:textId="3B70C11B" w:rsidR="00093B8F" w:rsidRDefault="00093B8F" w:rsidP="00207D81">
      <w:pPr>
        <w:ind w:right="1104"/>
        <w:jc w:val="both"/>
      </w:pPr>
      <w:r>
        <w:t>På Jernbanenævnets hjemmeside findes en formular til brug for indgivelse af førnævnte anmodning</w:t>
      </w:r>
      <w:r w:rsidR="008C4AD5">
        <w:t xml:space="preserve"> og de dertil hørende nødvendige oplysninger</w:t>
      </w:r>
      <w:r>
        <w:t xml:space="preserve">. </w:t>
      </w:r>
    </w:p>
    <w:p w14:paraId="58490EA2" w14:textId="4CFB65EE" w:rsidR="008C4AD5" w:rsidRDefault="008C4AD5" w:rsidP="00207D81">
      <w:pPr>
        <w:ind w:right="1104"/>
        <w:jc w:val="both"/>
      </w:pPr>
      <w:r>
        <w:t xml:space="preserve">Jernbanenævnet kan anmode den </w:t>
      </w:r>
      <w:r w:rsidR="00F03766">
        <w:t>aktør</w:t>
      </w:r>
      <w:r>
        <w:t xml:space="preserve">, der anmoder om prøvning af økonomisk ligevægt, om at tilvejebringe yderligere supplerende oplysninger, som skønnes nødvendige, ligesom der kan fastsættes en frist herfor. </w:t>
      </w:r>
    </w:p>
    <w:p w14:paraId="3BB2B806" w14:textId="11FB6C1C" w:rsidR="008C4AD5" w:rsidRDefault="008C4AD5" w:rsidP="00207D81">
      <w:pPr>
        <w:ind w:right="1104"/>
        <w:jc w:val="both"/>
      </w:pPr>
      <w:r>
        <w:t xml:space="preserve">Fremkommer der en anmodning om prøvning af økonomisk ligevægt fra en af de nævnte </w:t>
      </w:r>
      <w:r w:rsidR="00F03766">
        <w:t>aktører</w:t>
      </w:r>
      <w:r>
        <w:t xml:space="preserve">, skal Jernbanenævnet træffe afgørelse inden for 6 uger fra modtagelsen af alle relevante oplysninger, jf. direktiv 2012/34, Artikel 11, stk. 2, in fine. </w:t>
      </w:r>
    </w:p>
    <w:p w14:paraId="0EB8D597" w14:textId="77777777" w:rsidR="00EC4DA4" w:rsidRDefault="00EC4DA4" w:rsidP="00EC4DA4">
      <w:pPr>
        <w:ind w:right="1104"/>
        <w:jc w:val="both"/>
      </w:pPr>
      <w:r>
        <w:t xml:space="preserve">Som udgangspunkt må konkurrence og markedsadgang for jernbanevirksomhederne anses som en fordel for passagererne. </w:t>
      </w:r>
    </w:p>
    <w:p w14:paraId="3A5FB259" w14:textId="6CD0FD93" w:rsidR="002C4002" w:rsidRDefault="002C4002" w:rsidP="00207D81">
      <w:pPr>
        <w:ind w:right="1104"/>
        <w:jc w:val="both"/>
      </w:pPr>
      <w:r>
        <w:t xml:space="preserve">Formålet med prøvning af økonomisk ligevægt er at sikre, at den ovenfor nævnte </w:t>
      </w:r>
      <w:r w:rsidR="00402A4F">
        <w:t xml:space="preserve">adgangsret for jernbanevirksomhederne ikke begrænses i forhold til nye jernbanepassagerruter, medmindre det kan fastslås, </w:t>
      </w:r>
      <w:r w:rsidR="00EA09C6">
        <w:t xml:space="preserve">dels </w:t>
      </w:r>
      <w:r w:rsidR="00402A4F">
        <w:t xml:space="preserve">at disse vil konkurrere direkte med jernbanepassagerruter omfattet af en kontrakt om offentlig </w:t>
      </w:r>
      <w:r w:rsidR="00281E40">
        <w:t>servicetrafik</w:t>
      </w:r>
      <w:r w:rsidR="0091025C">
        <w:t xml:space="preserve"> og </w:t>
      </w:r>
      <w:r w:rsidR="00EA09C6">
        <w:t xml:space="preserve">derudover at de nye ruter også </w:t>
      </w:r>
      <w:r w:rsidR="0091025C">
        <w:t>efter en samlet vurdering må forventes at medføre væsentlig negativ påvirkning af</w:t>
      </w:r>
      <w:r w:rsidR="00EA09C6">
        <w:t xml:space="preserve"> førnævnte eksisterende ruter.</w:t>
      </w:r>
    </w:p>
    <w:p w14:paraId="4DAC6BAA" w14:textId="082119F3" w:rsidR="00525423" w:rsidRDefault="00F03766" w:rsidP="00207D81">
      <w:pPr>
        <w:ind w:right="1104"/>
        <w:jc w:val="both"/>
      </w:pPr>
      <w:r>
        <w:t>Afgørelserne om økonomisk ligevægt</w:t>
      </w:r>
      <w:r w:rsidR="00BC598B">
        <w:t xml:space="preserve"> </w:t>
      </w:r>
      <w:r w:rsidR="00AC5AF8">
        <w:t xml:space="preserve">skal </w:t>
      </w:r>
      <w:r w:rsidR="00BC598B">
        <w:t xml:space="preserve">bygge på </w:t>
      </w:r>
      <w:r w:rsidR="00AC5AF8">
        <w:t xml:space="preserve">konkrete vurderinger og </w:t>
      </w:r>
      <w:r w:rsidR="00BC598B">
        <w:t>analyse</w:t>
      </w:r>
      <w:r w:rsidR="00AC5AF8">
        <w:t>r</w:t>
      </w:r>
      <w:r w:rsidR="00BC598B">
        <w:t xml:space="preserve"> </w:t>
      </w:r>
      <w:r w:rsidR="00AC5AF8">
        <w:t>i</w:t>
      </w:r>
      <w:r w:rsidR="00BC598B">
        <w:t xml:space="preserve"> </w:t>
      </w:r>
      <w:r w:rsidR="00AC5AF8">
        <w:t>hver</w:t>
      </w:r>
      <w:r w:rsidR="00BC598B">
        <w:t xml:space="preserve"> enkelt sag</w:t>
      </w:r>
      <w:r w:rsidR="00AC5AF8">
        <w:t xml:space="preserve"> med udgangspunkt i kriterierne </w:t>
      </w:r>
      <w:r w:rsidR="008C4AD5">
        <w:t>i nedenstående metodologi.</w:t>
      </w:r>
      <w:r w:rsidR="00BC598B">
        <w:t xml:space="preserve"> </w:t>
      </w:r>
    </w:p>
    <w:p w14:paraId="6AAB264E" w14:textId="2A0DB85E" w:rsidR="00525423" w:rsidRDefault="00525423" w:rsidP="00207D81">
      <w:pPr>
        <w:ind w:right="1104"/>
        <w:jc w:val="both"/>
      </w:pPr>
      <w:r>
        <w:t xml:space="preserve">Hvis </w:t>
      </w:r>
      <w:r w:rsidR="00F03766">
        <w:t xml:space="preserve">der </w:t>
      </w:r>
      <w:r w:rsidR="006414EF">
        <w:t xml:space="preserve">vurderes at </w:t>
      </w:r>
      <w:r>
        <w:t xml:space="preserve">blive tale om økonomisk uligevægt, kan </w:t>
      </w:r>
      <w:r w:rsidR="00AC5AF8">
        <w:t xml:space="preserve">Jernbanenævnet </w:t>
      </w:r>
      <w:r>
        <w:t>beslutte at begrænse adgang</w:t>
      </w:r>
      <w:r w:rsidR="00E46E64">
        <w:t>en</w:t>
      </w:r>
      <w:r>
        <w:t xml:space="preserve"> til jernbaneinfrastruktur</w:t>
      </w:r>
      <w:r w:rsidR="00AC5AF8">
        <w:t>en</w:t>
      </w:r>
      <w:r>
        <w:t xml:space="preserve"> for passagerruter mellem et afgangs- og et bestemmelsessted, der er omfattet af en eller flere kontrakter om offentlig </w:t>
      </w:r>
      <w:r w:rsidR="00281E40">
        <w:t>servicetrafik</w:t>
      </w:r>
      <w:r w:rsidR="00326FD8">
        <w:t>, jf. gennemførelsesforordningens Artikel 11</w:t>
      </w:r>
      <w:r>
        <w:t xml:space="preserve">.  </w:t>
      </w:r>
    </w:p>
    <w:p w14:paraId="333B8491" w14:textId="7E62B505" w:rsidR="004C2D92" w:rsidRDefault="004C2D92" w:rsidP="00207D81">
      <w:pPr>
        <w:ind w:right="1812"/>
        <w:jc w:val="both"/>
      </w:pPr>
    </w:p>
    <w:p w14:paraId="22E5F03F" w14:textId="6A3E5975" w:rsidR="00207D81" w:rsidRPr="00207D81" w:rsidRDefault="00207D81" w:rsidP="00207D81">
      <w:pPr>
        <w:ind w:right="1812"/>
        <w:jc w:val="center"/>
        <w:rPr>
          <w:b/>
          <w:bCs/>
        </w:rPr>
      </w:pPr>
      <w:r w:rsidRPr="00207D81">
        <w:rPr>
          <w:b/>
          <w:bCs/>
        </w:rPr>
        <w:t>*</w:t>
      </w:r>
    </w:p>
    <w:p w14:paraId="737ABFE6" w14:textId="77777777" w:rsidR="00E46E64" w:rsidRPr="004C43C7" w:rsidRDefault="00E46E64" w:rsidP="00207D81">
      <w:pPr>
        <w:ind w:right="1812"/>
        <w:jc w:val="both"/>
      </w:pPr>
    </w:p>
    <w:p w14:paraId="3C2240CB" w14:textId="52954779" w:rsidR="002C056F" w:rsidRPr="004C43C7" w:rsidRDefault="004C43C7" w:rsidP="00207D81">
      <w:pPr>
        <w:jc w:val="both"/>
        <w:rPr>
          <w:b/>
          <w:bCs/>
        </w:rPr>
      </w:pPr>
      <w:r w:rsidRPr="004C43C7">
        <w:rPr>
          <w:b/>
          <w:bCs/>
        </w:rPr>
        <w:t>METODOLOGI</w:t>
      </w:r>
      <w:r w:rsidR="00E51F84">
        <w:rPr>
          <w:b/>
          <w:bCs/>
        </w:rPr>
        <w:t xml:space="preserve"> FOR PRØVNING AF ØKONOMISK LIGEVÆGT</w:t>
      </w:r>
    </w:p>
    <w:p w14:paraId="29AD0B89" w14:textId="3F86920E" w:rsidR="00860B7A" w:rsidRDefault="00134BDC" w:rsidP="00207D81">
      <w:pPr>
        <w:ind w:right="1077"/>
        <w:jc w:val="both"/>
      </w:pPr>
      <w:r>
        <w:t>Jernbanenævnet</w:t>
      </w:r>
      <w:r w:rsidR="002658DC" w:rsidRPr="001519DF">
        <w:t xml:space="preserve"> vil foretage en </w:t>
      </w:r>
      <w:r w:rsidR="00A54FFE">
        <w:t>konkret</w:t>
      </w:r>
      <w:r w:rsidR="002658DC" w:rsidRPr="001519DF">
        <w:t xml:space="preserve"> vurdering af </w:t>
      </w:r>
      <w:r w:rsidR="00A54FFE">
        <w:t>hver</w:t>
      </w:r>
      <w:r w:rsidR="002658DC" w:rsidRPr="001519DF">
        <w:t xml:space="preserve"> enkelt sag for at vurdere, hvorvidt den foreslåede rute vil skabe en økonomisk uligevægt i kontrakten om offentlig </w:t>
      </w:r>
      <w:r w:rsidR="00E71F1D">
        <w:t>servicetrafik</w:t>
      </w:r>
      <w:r w:rsidR="002658DC" w:rsidRPr="001519DF">
        <w:t>. Vurderingen foretages under inddragelse af kriterierne i artikel 1</w:t>
      </w:r>
      <w:r w:rsidR="00FA0EA5">
        <w:t>0</w:t>
      </w:r>
      <w:r w:rsidR="002658DC" w:rsidRPr="001519DF">
        <w:t xml:space="preserve"> i gennemførselsforordningen. </w:t>
      </w:r>
    </w:p>
    <w:p w14:paraId="793534C2" w14:textId="53255F70" w:rsidR="00860B7A" w:rsidRDefault="00860B7A" w:rsidP="00207D81">
      <w:pPr>
        <w:ind w:right="1077"/>
        <w:jc w:val="both"/>
      </w:pPr>
      <w:r>
        <w:t>D</w:t>
      </w:r>
      <w:r w:rsidRPr="001519DF">
        <w:t>et antages, at der skabes økonomisk uligevægt i kontrakt</w:t>
      </w:r>
      <w:r>
        <w:t>en</w:t>
      </w:r>
      <w:r w:rsidRPr="001519DF">
        <w:t xml:space="preserve"> om offentlig </w:t>
      </w:r>
      <w:r w:rsidR="00E71F1D">
        <w:t>servicetrafik</w:t>
      </w:r>
      <w:r w:rsidRPr="001519DF">
        <w:t xml:space="preserve">, hvis den foreslåede nye rute har en </w:t>
      </w:r>
      <w:r w:rsidR="00AF2007">
        <w:t>væsentlig</w:t>
      </w:r>
      <w:r w:rsidRPr="001519DF">
        <w:t xml:space="preserve"> negativ indflydelse på: </w:t>
      </w:r>
    </w:p>
    <w:p w14:paraId="53753388" w14:textId="4EBADABA" w:rsidR="00860B7A" w:rsidRDefault="00860B7A" w:rsidP="00207D81">
      <w:pPr>
        <w:pStyle w:val="Listeafsnit"/>
        <w:numPr>
          <w:ilvl w:val="0"/>
          <w:numId w:val="6"/>
        </w:numPr>
        <w:ind w:right="1077"/>
      </w:pPr>
      <w:r>
        <w:t>R</w:t>
      </w:r>
      <w:r w:rsidRPr="001519DF">
        <w:t xml:space="preserve">entabiliteten af ruter, som drives under kontrakten om offentlig </w:t>
      </w:r>
      <w:r w:rsidR="00E71F1D">
        <w:t>servicetrafik</w:t>
      </w:r>
      <w:r w:rsidRPr="001519DF">
        <w:t xml:space="preserve">, </w:t>
      </w:r>
      <w:r w:rsidRPr="00885DAE">
        <w:rPr>
          <w:i/>
          <w:iCs/>
        </w:rPr>
        <w:t>og/eller</w:t>
      </w:r>
      <w:r w:rsidRPr="001519DF">
        <w:t xml:space="preserve"> </w:t>
      </w:r>
    </w:p>
    <w:p w14:paraId="4264DECE" w14:textId="535B9C23" w:rsidR="00860B7A" w:rsidRDefault="00860B7A" w:rsidP="00207D81">
      <w:pPr>
        <w:pStyle w:val="Listeafsnit"/>
        <w:numPr>
          <w:ilvl w:val="0"/>
          <w:numId w:val="6"/>
        </w:numPr>
        <w:ind w:right="1077"/>
      </w:pPr>
      <w:r>
        <w:t>N</w:t>
      </w:r>
      <w:r w:rsidRPr="001519DF">
        <w:t xml:space="preserve">ettoomkostningerne for den kompetente myndighed, der tildeler kontrakten om offentlig </w:t>
      </w:r>
      <w:r w:rsidR="00E71F1D">
        <w:t>servicetrafik</w:t>
      </w:r>
      <w:r w:rsidRPr="001519DF">
        <w:t>.</w:t>
      </w:r>
    </w:p>
    <w:p w14:paraId="25888550" w14:textId="1F4C1438" w:rsidR="002658DC" w:rsidRDefault="00FF1B1B" w:rsidP="00207D81">
      <w:pPr>
        <w:ind w:right="1077"/>
        <w:jc w:val="both"/>
      </w:pPr>
      <w:r>
        <w:t xml:space="preserve">Der </w:t>
      </w:r>
      <w:r w:rsidR="008972A5" w:rsidRPr="001519DF">
        <w:t>fokusere</w:t>
      </w:r>
      <w:r>
        <w:t>s</w:t>
      </w:r>
      <w:r w:rsidR="008972A5" w:rsidRPr="001519DF">
        <w:t xml:space="preserve"> på den foreslåede nye rutes </w:t>
      </w:r>
      <w:r w:rsidR="00AF2007">
        <w:t xml:space="preserve">forventede påvirkning af antal passagerer, den </w:t>
      </w:r>
      <w:r w:rsidR="00AC1FDE">
        <w:t>finansielle</w:t>
      </w:r>
      <w:r w:rsidR="008972A5" w:rsidRPr="001519DF">
        <w:t xml:space="preserve"> </w:t>
      </w:r>
      <w:r w:rsidR="00AC1FDE">
        <w:t>netto</w:t>
      </w:r>
      <w:r w:rsidR="008972A5" w:rsidRPr="001519DF">
        <w:t xml:space="preserve">virkning på kontrakten om offentlig </w:t>
      </w:r>
      <w:r w:rsidR="002C73E7">
        <w:t>servicetrafik</w:t>
      </w:r>
      <w:r w:rsidR="008972A5" w:rsidRPr="001519DF">
        <w:t xml:space="preserve"> som helhed, og ikke på enkelte ruter, som drives under kontrakten</w:t>
      </w:r>
      <w:r>
        <w:t xml:space="preserve">. Dernæst baseres vurderingen på </w:t>
      </w:r>
      <w:r w:rsidR="008972A5" w:rsidRPr="001519DF">
        <w:t>hele kontraktens løbetid</w:t>
      </w:r>
      <w:r>
        <w:t>.</w:t>
      </w:r>
      <w:r w:rsidR="008972A5" w:rsidRPr="001519DF">
        <w:t xml:space="preserve"> </w:t>
      </w:r>
    </w:p>
    <w:p w14:paraId="3CFC8A30" w14:textId="77C40DD0" w:rsidR="00AF2007" w:rsidRDefault="00AF2007" w:rsidP="00207D81">
      <w:pPr>
        <w:ind w:right="1077"/>
        <w:jc w:val="both"/>
      </w:pPr>
      <w:r>
        <w:t xml:space="preserve">Der lægges vægt på, hvorvidt den nye rute kan antages at blive substitut til de togrejser, der tilbydes under kontrakten om offentlig </w:t>
      </w:r>
      <w:r w:rsidR="002C73E7">
        <w:t>servicetrafik</w:t>
      </w:r>
      <w:r w:rsidR="00D10BD4">
        <w:t xml:space="preserve">. Herunder lægges </w:t>
      </w:r>
      <w:r w:rsidR="00326FD8">
        <w:t xml:space="preserve">der </w:t>
      </w:r>
      <w:r w:rsidR="00D10BD4">
        <w:t>vægt på del</w:t>
      </w:r>
      <w:r w:rsidR="00D86A49">
        <w:t>s</w:t>
      </w:r>
      <w:r w:rsidR="00D10BD4">
        <w:t xml:space="preserve"> omfanget af ens på- og afstigningsstationer samt dernæst andre egenskaber ved tjenesteydelserne såsom kvalitet, komfort, rejsetid</w:t>
      </w:r>
      <w:r w:rsidR="00326FD8">
        <w:t>,</w:t>
      </w:r>
      <w:r w:rsidR="00D10BD4">
        <w:t xml:space="preserve"> service og pris. </w:t>
      </w:r>
    </w:p>
    <w:p w14:paraId="55F2D5B0" w14:textId="72579F80" w:rsidR="00AB52D6" w:rsidRDefault="007A709D" w:rsidP="00207D81">
      <w:pPr>
        <w:ind w:right="1077"/>
        <w:jc w:val="both"/>
      </w:pPr>
      <w:r>
        <w:t xml:space="preserve">Overetablering på strækninger kan </w:t>
      </w:r>
      <w:r w:rsidR="00AB05E6">
        <w:t xml:space="preserve">eventuelt </w:t>
      </w:r>
      <w:r>
        <w:t>føre til ineffektivitet</w:t>
      </w:r>
      <w:r w:rsidR="00AB05E6">
        <w:t xml:space="preserve"> med deraf følgende højere </w:t>
      </w:r>
      <w:r w:rsidR="00BB2EBF">
        <w:t>omkostninger</w:t>
      </w:r>
      <w:r>
        <w:t xml:space="preserve">. </w:t>
      </w:r>
      <w:r w:rsidR="00AB52D6">
        <w:t xml:space="preserve">Selvom tjenesterne fremstår som substitutter rent geografisk, kan de </w:t>
      </w:r>
      <w:r w:rsidR="00E73440">
        <w:t xml:space="preserve">dog </w:t>
      </w:r>
      <w:r w:rsidR="00AB52D6">
        <w:t xml:space="preserve">supplere hinanden, hvis de er fordelt over tid og dermed styrker togtransporten som </w:t>
      </w:r>
      <w:r w:rsidR="00AA3E47">
        <w:t xml:space="preserve">transportform. </w:t>
      </w:r>
    </w:p>
    <w:p w14:paraId="30B08FAD" w14:textId="7372FCD7" w:rsidR="005A0035" w:rsidRDefault="00EA09C6" w:rsidP="00207D81">
      <w:pPr>
        <w:ind w:right="1077"/>
        <w:jc w:val="both"/>
      </w:pPr>
      <w:r>
        <w:t>Imens</w:t>
      </w:r>
      <w:r w:rsidR="007C333E">
        <w:t xml:space="preserve"> ændringer i antallet af passagerer </w:t>
      </w:r>
      <w:r w:rsidR="005A0035">
        <w:t>ofte</w:t>
      </w:r>
      <w:r w:rsidR="007C333E">
        <w:t xml:space="preserve"> kun har begrænsede virkninger for omkostningerne</w:t>
      </w:r>
      <w:r w:rsidR="00A54FFE">
        <w:t xml:space="preserve"> (især på kort sigt)</w:t>
      </w:r>
      <w:r w:rsidR="007C333E">
        <w:t>, vil et fald i passager</w:t>
      </w:r>
      <w:r w:rsidR="00A54FFE">
        <w:t>tal</w:t>
      </w:r>
      <w:r w:rsidR="007C333E">
        <w:t xml:space="preserve"> for operatøren </w:t>
      </w:r>
      <w:r w:rsidR="00A54FFE">
        <w:t xml:space="preserve">umiddelbart </w:t>
      </w:r>
      <w:r w:rsidR="007C333E">
        <w:t xml:space="preserve">kunne medføre en næsten proportional reduktion i operatørens billetindtægter. </w:t>
      </w:r>
    </w:p>
    <w:p w14:paraId="26068BA8" w14:textId="29506CA1" w:rsidR="005A0035" w:rsidRDefault="007C333E" w:rsidP="005A0035">
      <w:pPr>
        <w:ind w:right="1077"/>
        <w:jc w:val="both"/>
      </w:pPr>
      <w:r>
        <w:t>Dog vil</w:t>
      </w:r>
      <w:r w:rsidR="005A0035">
        <w:t xml:space="preserve"> der kunne blive tale om omkostningsbesparelser</w:t>
      </w:r>
      <w:r>
        <w:t xml:space="preserve"> </w:t>
      </w:r>
      <w:r w:rsidR="005A0035" w:rsidRPr="001519DF">
        <w:t xml:space="preserve">for den jernbanevirksomhed, som opfylder kontrakten om offentlig </w:t>
      </w:r>
      <w:r w:rsidR="00377380">
        <w:t>servicetrafik</w:t>
      </w:r>
      <w:r w:rsidR="005A0035" w:rsidRPr="001519DF">
        <w:t xml:space="preserve"> </w:t>
      </w:r>
      <w:r w:rsidR="005A0035">
        <w:t xml:space="preserve">- </w:t>
      </w:r>
      <w:r w:rsidR="005A0035" w:rsidRPr="001519DF">
        <w:t xml:space="preserve">f.eks. </w:t>
      </w:r>
      <w:r w:rsidR="005A0035">
        <w:t xml:space="preserve">som følge af, at </w:t>
      </w:r>
      <w:r w:rsidR="005A0035" w:rsidRPr="001519DF">
        <w:t xml:space="preserve">udskiftning af udtjent rullende materiel </w:t>
      </w:r>
      <w:r w:rsidR="005A0035">
        <w:t xml:space="preserve">kan undlades </w:t>
      </w:r>
      <w:r w:rsidR="005A0035" w:rsidRPr="001519DF">
        <w:t xml:space="preserve">eller </w:t>
      </w:r>
      <w:r w:rsidR="005A0035">
        <w:t xml:space="preserve">at genansættelse af </w:t>
      </w:r>
      <w:r w:rsidR="005A0035" w:rsidRPr="001519DF">
        <w:t>personale, hvis ansættelseskontrakt</w:t>
      </w:r>
      <w:r w:rsidR="005A0035">
        <w:t>er</w:t>
      </w:r>
      <w:r w:rsidR="005A0035" w:rsidRPr="001519DF">
        <w:t xml:space="preserve"> udløber</w:t>
      </w:r>
      <w:r w:rsidR="005A0035">
        <w:t>, kan undlades.</w:t>
      </w:r>
    </w:p>
    <w:p w14:paraId="227BEB47" w14:textId="7CBA65D3" w:rsidR="007C333E" w:rsidRPr="001519DF" w:rsidRDefault="005A0035" w:rsidP="00207D81">
      <w:pPr>
        <w:ind w:right="1077"/>
        <w:jc w:val="both"/>
      </w:pPr>
      <w:r>
        <w:t xml:space="preserve">Dernæst vil den nye rute ofte kunne skabe </w:t>
      </w:r>
      <w:r w:rsidR="00A54FFE">
        <w:t>supplerende (</w:t>
      </w:r>
      <w:r>
        <w:t>komplementære</w:t>
      </w:r>
      <w:r w:rsidR="00A54FFE">
        <w:t>)</w:t>
      </w:r>
      <w:r>
        <w:t xml:space="preserve"> relationer i form af tilførsel af </w:t>
      </w:r>
      <w:r w:rsidR="00A54FFE">
        <w:t xml:space="preserve">flere </w:t>
      </w:r>
      <w:r>
        <w:t>passagerer med forbindelse til eller fra den nye rute.</w:t>
      </w:r>
      <w:r w:rsidR="00AC462C">
        <w:t xml:space="preserve"> Jernbanen konkurrerer </w:t>
      </w:r>
      <w:r w:rsidR="00A54FFE">
        <w:t xml:space="preserve">tillige </w:t>
      </w:r>
      <w:r w:rsidR="00AC462C">
        <w:t>med fly</w:t>
      </w:r>
      <w:r w:rsidR="00A54FFE">
        <w:t>-</w:t>
      </w:r>
      <w:r w:rsidR="00AC462C">
        <w:t>, båd- og biltransport. B</w:t>
      </w:r>
      <w:r w:rsidR="00A54FFE">
        <w:t>edre</w:t>
      </w:r>
      <w:r w:rsidR="00AC462C">
        <w:t xml:space="preserve"> tilbud som følge af nye jernbanepassagerruter kan </w:t>
      </w:r>
      <w:r w:rsidR="00A54FFE">
        <w:t xml:space="preserve">derfor </w:t>
      </w:r>
      <w:r w:rsidR="00AC462C">
        <w:t xml:space="preserve">øge jernbanens attraktivitet </w:t>
      </w:r>
      <w:r w:rsidR="00A54FFE">
        <w:t>i forhold til</w:t>
      </w:r>
      <w:r w:rsidR="00AC462C">
        <w:t xml:space="preserve"> de andre transportformer og dermed påvirke rejsevanerne.</w:t>
      </w:r>
      <w:r w:rsidR="008522F3">
        <w:t xml:space="preserve"> </w:t>
      </w:r>
      <w:r w:rsidR="00AC462C">
        <w:t xml:space="preserve"> </w:t>
      </w:r>
    </w:p>
    <w:p w14:paraId="1EF34AC2" w14:textId="10435C75" w:rsidR="008972A5" w:rsidRPr="001519DF" w:rsidRDefault="005A0035" w:rsidP="005A0035">
      <w:pPr>
        <w:ind w:right="1077"/>
        <w:jc w:val="both"/>
      </w:pPr>
      <w:r>
        <w:t xml:space="preserve">Mulige </w:t>
      </w:r>
      <w:r w:rsidR="008972A5" w:rsidRPr="001519DF">
        <w:t xml:space="preserve">konkurrencemæssige reaktioner fra den jernbanevirksomhed, der opfylder kontrakten om offentlig </w:t>
      </w:r>
      <w:r w:rsidR="00377380">
        <w:t>servicetrafik</w:t>
      </w:r>
      <w:r>
        <w:t xml:space="preserve"> kan også få betydning</w:t>
      </w:r>
      <w:r w:rsidR="008972A5" w:rsidRPr="001519DF">
        <w:t xml:space="preserve">. </w:t>
      </w:r>
      <w:r w:rsidR="00A5197D">
        <w:t>K</w:t>
      </w:r>
      <w:r>
        <w:t>onkurrence kan føre til prisreduktioner og dermed indtægtstab, idet prisreduktioner dog også kan øge efterspørgslen afhængigt af efterspørgs</w:t>
      </w:r>
      <w:r w:rsidR="00A5197D">
        <w:t>lens prisfølsomhed (</w:t>
      </w:r>
      <w:r>
        <w:t>elasticitet</w:t>
      </w:r>
      <w:r w:rsidR="00A5197D">
        <w:t>)</w:t>
      </w:r>
      <w:r>
        <w:t xml:space="preserve">. </w:t>
      </w:r>
    </w:p>
    <w:p w14:paraId="4FA75D44" w14:textId="339E7D7E" w:rsidR="008972A5" w:rsidRDefault="001519DF" w:rsidP="00D267F8">
      <w:pPr>
        <w:ind w:right="1077"/>
        <w:jc w:val="both"/>
      </w:pPr>
      <w:r>
        <w:t>M</w:t>
      </w:r>
      <w:r w:rsidR="008972A5" w:rsidRPr="001519DF">
        <w:t xml:space="preserve">uligheden for at begrænse omfanget af kontrakten om offentlig </w:t>
      </w:r>
      <w:r w:rsidR="00377380">
        <w:t>servicetrafik</w:t>
      </w:r>
      <w:r w:rsidR="00D267F8">
        <w:t xml:space="preserve"> vil efter omstændighederne kunne være relevant for at begrænse tabet for operatøren under denne</w:t>
      </w:r>
      <w:r w:rsidR="008972A5" w:rsidRPr="001519DF">
        <w:t>.</w:t>
      </w:r>
      <w:r w:rsidR="00D267F8">
        <w:t xml:space="preserve"> Jernbanenævnet vil kunne afgive henstillinger til den kompetente myndighed om sådanne begrænsninger</w:t>
      </w:r>
      <w:r w:rsidR="00BD65CE">
        <w:t xml:space="preserve"> af hensyn til de nettofordele for passagererne, som en ny rute måtte forventes at bringe. </w:t>
      </w:r>
    </w:p>
    <w:p w14:paraId="5DE1AC94" w14:textId="2EA5B704" w:rsidR="00E55820" w:rsidRDefault="00E55820" w:rsidP="00207D81">
      <w:pPr>
        <w:ind w:right="1077"/>
        <w:jc w:val="both"/>
      </w:pPr>
      <w:r w:rsidRPr="001519DF">
        <w:t xml:space="preserve">Hvis </w:t>
      </w:r>
      <w:r w:rsidR="00244B30">
        <w:t xml:space="preserve">den nye </w:t>
      </w:r>
      <w:r w:rsidRPr="001519DF">
        <w:t xml:space="preserve">passagerrutes indflydelse på kontrakten </w:t>
      </w:r>
      <w:r w:rsidR="00D267F8">
        <w:t xml:space="preserve">samlet set </w:t>
      </w:r>
      <w:r w:rsidR="001519DF">
        <w:t>m</w:t>
      </w:r>
      <w:r w:rsidRPr="001519DF">
        <w:t xml:space="preserve">å vurderes at være </w:t>
      </w:r>
      <w:r w:rsidR="00D10BD4">
        <w:t xml:space="preserve">væsentligt </w:t>
      </w:r>
      <w:r w:rsidRPr="001519DF">
        <w:t>negativ</w:t>
      </w:r>
      <w:r w:rsidR="00D10BD4">
        <w:t>,</w:t>
      </w:r>
      <w:r w:rsidRPr="001519DF">
        <w:t xml:space="preserve"> vil dette indikere</w:t>
      </w:r>
      <w:r w:rsidR="001519DF">
        <w:t>,</w:t>
      </w:r>
      <w:r w:rsidRPr="001519DF">
        <w:t xml:space="preserve"> at den foreslåede nye rute vil skabe økonomisk uligevægt i kontrakten om offentlig </w:t>
      </w:r>
      <w:r w:rsidR="00DB6042">
        <w:t>servicetrafik</w:t>
      </w:r>
      <w:r w:rsidRPr="001519DF">
        <w:t xml:space="preserve">. </w:t>
      </w:r>
    </w:p>
    <w:p w14:paraId="572DCBE0" w14:textId="37C28586" w:rsidR="00323A88" w:rsidRDefault="008E2366" w:rsidP="00207D81">
      <w:pPr>
        <w:ind w:right="1077"/>
        <w:jc w:val="both"/>
      </w:pPr>
      <w:r>
        <w:t xml:space="preserve">Udgangspunktet er, at markedet for persontransport er åbnet for konkurrence – herunder også på strækninger omfattet af en kontrakt om offentlig </w:t>
      </w:r>
      <w:r w:rsidR="00DB6042">
        <w:t>servicetrafik</w:t>
      </w:r>
      <w:r>
        <w:t xml:space="preserve">. </w:t>
      </w:r>
      <w:r w:rsidR="00326FD8">
        <w:t xml:space="preserve">Prøvningen </w:t>
      </w:r>
      <w:r w:rsidR="00943DF0">
        <w:t>af</w:t>
      </w:r>
      <w:r w:rsidR="00326FD8">
        <w:t xml:space="preserve"> </w:t>
      </w:r>
      <w:r>
        <w:t>økonomisk ligevægt udgør en snæver undtagelse hertil, jf. førnævnte væsentlighedskrav.</w:t>
      </w:r>
    </w:p>
    <w:p w14:paraId="0B4DB9F1" w14:textId="27AC758D" w:rsidR="008E2366" w:rsidRPr="001519DF" w:rsidRDefault="008E2366" w:rsidP="00207D81">
      <w:pPr>
        <w:ind w:right="1077"/>
        <w:jc w:val="both"/>
      </w:pPr>
      <w:r>
        <w:t xml:space="preserve">I væsentlighedskravet indgår ikke faste grænseværdier, idet der foretages en konkret vurdering </w:t>
      </w:r>
      <w:r w:rsidR="00885DAE">
        <w:t xml:space="preserve">og afvejning af </w:t>
      </w:r>
      <w:r w:rsidR="000667A4">
        <w:t xml:space="preserve">de relevante hensyn og oplysninger </w:t>
      </w:r>
      <w:r>
        <w:t xml:space="preserve">fra sag til sag. </w:t>
      </w:r>
    </w:p>
    <w:p w14:paraId="275731E3" w14:textId="335493F7" w:rsidR="001D1ED7" w:rsidRDefault="001D1ED7" w:rsidP="00207D81">
      <w:pPr>
        <w:ind w:right="1077"/>
        <w:jc w:val="both"/>
      </w:pPr>
      <w:r>
        <w:t xml:space="preserve">Ved vurderingen af, hvorvidt </w:t>
      </w:r>
      <w:r w:rsidR="00E55820" w:rsidRPr="001519DF">
        <w:t xml:space="preserve">den negative </w:t>
      </w:r>
      <w:r w:rsidR="0066664A" w:rsidRPr="001519DF">
        <w:t xml:space="preserve">indflydelse er </w:t>
      </w:r>
      <w:r w:rsidR="00D10BD4">
        <w:t>væsentlig</w:t>
      </w:r>
      <w:r>
        <w:t>,</w:t>
      </w:r>
      <w:r w:rsidR="0066664A" w:rsidRPr="001519DF">
        <w:t xml:space="preserve"> kan </w:t>
      </w:r>
      <w:r>
        <w:t xml:space="preserve">der </w:t>
      </w:r>
      <w:proofErr w:type="gramStart"/>
      <w:r w:rsidR="0066664A" w:rsidRPr="001519DF">
        <w:t>eksempelvis</w:t>
      </w:r>
      <w:proofErr w:type="gramEnd"/>
      <w:r w:rsidR="0066664A" w:rsidRPr="001519DF">
        <w:t xml:space="preserve"> </w:t>
      </w:r>
      <w:r>
        <w:t xml:space="preserve">lægges vægt på </w:t>
      </w:r>
      <w:r w:rsidR="0066664A" w:rsidRPr="001519DF">
        <w:t xml:space="preserve">rentabilitets- og omsætningsberegninger udarbejdet af den jernbanevirksomhed, der opfylder kontrakten om offentlig </w:t>
      </w:r>
      <w:r w:rsidR="00DB6042">
        <w:t>servicetrafik</w:t>
      </w:r>
      <w:r w:rsidR="0066664A" w:rsidRPr="001519DF">
        <w:t xml:space="preserve"> og/eller af den kompetente myndighed, der tildeler kontrakten om offentlig </w:t>
      </w:r>
      <w:r w:rsidR="00DB6042">
        <w:t>servicetrafik</w:t>
      </w:r>
      <w:r w:rsidR="0066664A" w:rsidRPr="001519DF">
        <w:t xml:space="preserve">. Derudover kan undersøges rækkevidden af beregningerne og de faktiske årlige udsving i omsætning og omkostninger fra de tidligere kontraktsår. </w:t>
      </w:r>
    </w:p>
    <w:p w14:paraId="35A68075" w14:textId="7D5CDF94" w:rsidR="00E55820" w:rsidRPr="001519DF" w:rsidRDefault="0066664A" w:rsidP="00207D81">
      <w:pPr>
        <w:ind w:right="1077"/>
        <w:jc w:val="both"/>
      </w:pPr>
      <w:r w:rsidRPr="001519DF">
        <w:t xml:space="preserve">En </w:t>
      </w:r>
      <w:r w:rsidR="000803A3">
        <w:t xml:space="preserve">forventet </w:t>
      </w:r>
      <w:r w:rsidRPr="001519DF">
        <w:t xml:space="preserve">økonomisk nettovirkning, der er i samme størrelsesorden som udsvingene </w:t>
      </w:r>
      <w:r w:rsidR="0017086E" w:rsidRPr="001519DF">
        <w:t xml:space="preserve">fra tidligere kontraktsår, kan som udgangspunkt ikke anses som værende </w:t>
      </w:r>
      <w:r w:rsidR="008E2366">
        <w:t>væsentlig</w:t>
      </w:r>
      <w:r w:rsidR="0017086E" w:rsidRPr="001519DF">
        <w:t>, idet operatørerne har forberedt sig på sådanne udsving ved indgåelse af kontrakt</w:t>
      </w:r>
      <w:r w:rsidR="001D1ED7">
        <w:t>en</w:t>
      </w:r>
      <w:r w:rsidR="0017086E" w:rsidRPr="001519DF">
        <w:t xml:space="preserve">. </w:t>
      </w:r>
      <w:r w:rsidR="000803A3">
        <w:t xml:space="preserve">Den forventede økonomiske nettovirkning kan eventuelt også vurderes i forhold til, hvad der i branchen betragtes som normale udsving. </w:t>
      </w:r>
      <w:r w:rsidR="0017086E" w:rsidRPr="001519DF">
        <w:t xml:space="preserve">    </w:t>
      </w:r>
    </w:p>
    <w:p w14:paraId="04D2F12B" w14:textId="549868E3" w:rsidR="00A56731" w:rsidRPr="001519DF" w:rsidRDefault="00A56731" w:rsidP="00396878">
      <w:pPr>
        <w:ind w:right="1077"/>
        <w:jc w:val="both"/>
      </w:pPr>
      <w:r w:rsidRPr="001519DF">
        <w:t xml:space="preserve">Ydermere </w:t>
      </w:r>
      <w:r w:rsidR="000803A3">
        <w:t>kan der ved vurderingen lægges vægt på</w:t>
      </w:r>
      <w:r w:rsidR="00396878">
        <w:t xml:space="preserve"> </w:t>
      </w:r>
      <w:r w:rsidR="0022496B">
        <w:t xml:space="preserve">den nye rutes </w:t>
      </w:r>
      <w:r w:rsidR="00396878">
        <w:t>v</w:t>
      </w:r>
      <w:r w:rsidRPr="001519DF">
        <w:t>irkning på jernbanetrafikkens præstationer</w:t>
      </w:r>
      <w:r w:rsidR="0022496B">
        <w:t>/ydeevne</w:t>
      </w:r>
      <w:r w:rsidRPr="001519DF">
        <w:t xml:space="preserve"> og kvalitet</w:t>
      </w:r>
      <w:r w:rsidR="0022496B">
        <w:t xml:space="preserve"> </w:t>
      </w:r>
      <w:r w:rsidR="005E36C4">
        <w:t>herunder</w:t>
      </w:r>
      <w:r w:rsidR="0022496B">
        <w:t xml:space="preserve"> nettofordelene for kunderne på kort og mellemlangt sigt</w:t>
      </w:r>
      <w:r w:rsidR="000803A3">
        <w:t>.</w:t>
      </w:r>
      <w:r w:rsidRPr="001519DF">
        <w:t xml:space="preserve"> </w:t>
      </w:r>
      <w:r w:rsidR="00396878">
        <w:t xml:space="preserve">En mere effektiv persontransport kan være forbundet med betydelige positive eksternaliteter herunder </w:t>
      </w:r>
      <w:r w:rsidR="00943DF0">
        <w:t>f.eks.</w:t>
      </w:r>
      <w:r w:rsidR="005B485B">
        <w:t xml:space="preserve"> </w:t>
      </w:r>
      <w:r w:rsidR="00396878">
        <w:t xml:space="preserve">agglomerationseffekter og arbejdsmarkedseffekter. </w:t>
      </w:r>
      <w:r w:rsidR="00EC3A6F">
        <w:t xml:space="preserve"> </w:t>
      </w:r>
    </w:p>
    <w:p w14:paraId="1EB5C7BF" w14:textId="086BC88F" w:rsidR="00A56731" w:rsidRPr="001519DF" w:rsidRDefault="00E96C42" w:rsidP="00E96C42">
      <w:pPr>
        <w:ind w:right="1077"/>
        <w:jc w:val="both"/>
      </w:pPr>
      <w:r>
        <w:t>Yderligere kan der lægges vægt på v</w:t>
      </w:r>
      <w:r w:rsidR="00A56731" w:rsidRPr="001519DF">
        <w:t>irkning</w:t>
      </w:r>
      <w:r>
        <w:t>en</w:t>
      </w:r>
      <w:r w:rsidR="00A56731" w:rsidRPr="001519DF">
        <w:t xml:space="preserve"> på jernbanevirksomhedernes eller de kompetente myndigheders investeringer i rullende materiel. </w:t>
      </w:r>
    </w:p>
    <w:p w14:paraId="6A4AB23A" w14:textId="77777777" w:rsidR="007304EA" w:rsidRDefault="007304EA" w:rsidP="00D426DA">
      <w:pPr>
        <w:ind w:right="962"/>
        <w:rPr>
          <w:rFonts w:ascii="Calibri" w:hAnsi="Calibri"/>
          <w:lang w:eastAsia="da-DK"/>
        </w:rPr>
      </w:pPr>
      <w:r w:rsidRPr="007304EA">
        <w:t>Der benyttes ikke en fast vægtning, men det beror på en vurdering fra sag til sag hvordan enkelte kriterier prioriteres og vægtes i forhold til hinanden, baseret på deres relevans og betydning for den konkrete sag</w:t>
      </w:r>
      <w:r>
        <w:rPr>
          <w:i/>
          <w:iCs/>
        </w:rPr>
        <w:t>.</w:t>
      </w:r>
    </w:p>
    <w:p w14:paraId="3EBCA56E" w14:textId="4684A8C0" w:rsidR="00A56731" w:rsidRDefault="00A56731" w:rsidP="00207D81">
      <w:pPr>
        <w:ind w:right="1077"/>
        <w:jc w:val="both"/>
      </w:pPr>
      <w:r w:rsidRPr="001519DF">
        <w:t>Deru</w:t>
      </w:r>
      <w:r w:rsidR="001519DF">
        <w:t xml:space="preserve">dover tager </w:t>
      </w:r>
      <w:r w:rsidR="00DB4069">
        <w:t>Jernbanenævnet</w:t>
      </w:r>
      <w:r w:rsidR="000803A3">
        <w:t xml:space="preserve"> forbehold for også at tage hensyn til </w:t>
      </w:r>
      <w:r w:rsidRPr="001519DF">
        <w:t xml:space="preserve">andre </w:t>
      </w:r>
      <w:r w:rsidR="000803A3">
        <w:t>relevante</w:t>
      </w:r>
      <w:r w:rsidR="00943DF0">
        <w:t>,</w:t>
      </w:r>
      <w:r w:rsidR="000803A3">
        <w:t xml:space="preserve"> </w:t>
      </w:r>
      <w:r w:rsidRPr="001519DF">
        <w:t xml:space="preserve">objektive kriterier. </w:t>
      </w:r>
    </w:p>
    <w:p w14:paraId="0279644C" w14:textId="4A619609" w:rsidR="00D86A49" w:rsidRPr="001519DF" w:rsidRDefault="00D86A49" w:rsidP="00207D81">
      <w:pPr>
        <w:ind w:right="1077"/>
        <w:jc w:val="both"/>
      </w:pPr>
      <w:r>
        <w:t>Værdien af tildelte enerettigheder indgår i vurderingen. Påvirkning af tildelte enerettigheder kan dog ikke i sig selv føre til nægtelse af adgang</w:t>
      </w:r>
      <w:r w:rsidR="005B2212">
        <w:t xml:space="preserve">. Nægtelse af adgang beror på, om der samlet set vurderes at blive tale om væsentlig negativ påvirkning af den økonomiske ligevægt, som ikke kan imødegås ved ændringer af den foreslåede nye rute. </w:t>
      </w:r>
    </w:p>
    <w:sectPr w:rsidR="00D86A49" w:rsidRPr="001519DF" w:rsidSect="00207D81">
      <w:headerReference w:type="even" r:id="rId8"/>
      <w:headerReference w:type="default" r:id="rId9"/>
      <w:footerReference w:type="default" r:id="rId10"/>
      <w:headerReference w:type="first" r:id="rId11"/>
      <w:footerReference w:type="first" r:id="rId12"/>
      <w:pgSz w:w="11906" w:h="16838" w:code="9"/>
      <w:pgMar w:top="1985" w:right="1985" w:bottom="1134" w:left="1588" w:header="39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E13A" w14:textId="77777777" w:rsidR="004A4252" w:rsidRDefault="004A4252">
      <w:r>
        <w:separator/>
      </w:r>
    </w:p>
  </w:endnote>
  <w:endnote w:type="continuationSeparator" w:id="0">
    <w:p w14:paraId="22656A3D" w14:textId="77777777" w:rsidR="004A4252" w:rsidRDefault="004A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2D80" w14:textId="77777777" w:rsidR="001E7D2A" w:rsidRDefault="001E7D2A">
    <w:pPr>
      <w:pStyle w:val="Sidefod"/>
    </w:pPr>
    <w:bookmarkStart w:id="0" w:name="PageInfo2"/>
    <w:bookmarkEnd w:id="0"/>
    <w:r>
      <w:t xml:space="preserve">Side </w:t>
    </w:r>
    <w:r>
      <w:fldChar w:fldCharType="begin"/>
    </w:r>
    <w:r>
      <w:instrText xml:space="preserve"> PAGE </w:instrText>
    </w:r>
    <w:r>
      <w:fldChar w:fldCharType="separate"/>
    </w:r>
    <w:r w:rsidR="00CA1F57">
      <w:rPr>
        <w:noProof/>
      </w:rPr>
      <w:t>5</w:t>
    </w:r>
    <w:r>
      <w:fldChar w:fldCharType="end"/>
    </w:r>
    <w:r>
      <w:t xml:space="preserve"> (</w:t>
    </w:r>
    <w:r w:rsidR="005B485B">
      <w:fldChar w:fldCharType="begin"/>
    </w:r>
    <w:r w:rsidR="005B485B">
      <w:instrText xml:space="preserve"> NUMPAGES </w:instrText>
    </w:r>
    <w:r w:rsidR="005B485B">
      <w:fldChar w:fldCharType="separate"/>
    </w:r>
    <w:r w:rsidR="00CA1F57">
      <w:rPr>
        <w:noProof/>
      </w:rPr>
      <w:t>5</w:t>
    </w:r>
    <w:r w:rsidR="005B485B">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AFDE" w14:textId="77777777" w:rsidR="001E7D2A" w:rsidRDefault="001E7D2A">
    <w:pPr>
      <w:pStyle w:val="Sidefod"/>
    </w:pPr>
    <w:bookmarkStart w:id="1" w:name="PageInfo"/>
    <w:bookmarkEnd w:id="1"/>
    <w:r>
      <w:rPr>
        <w:rStyle w:val="Sidetal"/>
      </w:rPr>
      <w:t xml:space="preserve">Side </w:t>
    </w:r>
    <w:r>
      <w:rPr>
        <w:rStyle w:val="Sidetal"/>
      </w:rPr>
      <w:fldChar w:fldCharType="begin"/>
    </w:r>
    <w:r>
      <w:rPr>
        <w:rStyle w:val="Sidetal"/>
      </w:rPr>
      <w:instrText xml:space="preserve">PAGE  </w:instrText>
    </w:r>
    <w:r>
      <w:rPr>
        <w:rStyle w:val="Sidetal"/>
      </w:rPr>
      <w:fldChar w:fldCharType="separate"/>
    </w:r>
    <w:r w:rsidR="00CA1F57">
      <w:rPr>
        <w:rStyle w:val="Sidetal"/>
        <w:noProof/>
      </w:rPr>
      <w:t>1</w:t>
    </w:r>
    <w:r>
      <w:rPr>
        <w:rStyle w:val="Sidetal"/>
      </w:rPr>
      <w:fldChar w:fldCharType="end"/>
    </w:r>
    <w:r>
      <w:rPr>
        <w:rStyle w:val="Sidetal"/>
      </w:rPr>
      <w:t xml:space="preserve"> (</w:t>
    </w:r>
    <w:r>
      <w:rPr>
        <w:rStyle w:val="Sidetal"/>
      </w:rPr>
      <w:fldChar w:fldCharType="begin"/>
    </w:r>
    <w:r>
      <w:rPr>
        <w:rStyle w:val="Sidetal"/>
      </w:rPr>
      <w:instrText xml:space="preserve"> NUMPAGES </w:instrText>
    </w:r>
    <w:r>
      <w:rPr>
        <w:rStyle w:val="Sidetal"/>
      </w:rPr>
      <w:fldChar w:fldCharType="separate"/>
    </w:r>
    <w:r w:rsidR="00CA1F57">
      <w:rPr>
        <w:rStyle w:val="Sidetal"/>
        <w:noProof/>
      </w:rPr>
      <w:t>5</w:t>
    </w:r>
    <w:r>
      <w:rPr>
        <w:rStyle w:val="Sidetal"/>
      </w:rPr>
      <w:fldChar w:fldCharType="end"/>
    </w:r>
    <w:r>
      <w:rPr>
        <w:rStyle w:val="Sidet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3433" w14:textId="77777777" w:rsidR="004A4252" w:rsidRDefault="004A4252">
      <w:r>
        <w:separator/>
      </w:r>
    </w:p>
  </w:footnote>
  <w:footnote w:type="continuationSeparator" w:id="0">
    <w:p w14:paraId="490FBCF6" w14:textId="77777777" w:rsidR="004A4252" w:rsidRDefault="004A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1F79" w14:textId="4D231002" w:rsidR="00E353BF" w:rsidRDefault="00E353B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14A2" w14:textId="5529EA47" w:rsidR="00037E1F" w:rsidRDefault="00037E1F" w:rsidP="00037E1F">
    <w:pPr>
      <w:pStyle w:val="Afsender"/>
      <w:ind w:left="6480" w:firstLine="720"/>
      <w:jc w:val="left"/>
    </w:pPr>
  </w:p>
  <w:p w14:paraId="20903843" w14:textId="148DD38A" w:rsidR="00037E1F" w:rsidRDefault="00037E1F" w:rsidP="00037E1F">
    <w:pPr>
      <w:pStyle w:val="Afsender"/>
      <w:jc w:val="center"/>
    </w:pPr>
    <w:r>
      <w:t xml:space="preserve">                 </w:t>
    </w:r>
    <w:r w:rsidR="003875BE">
      <w:t xml:space="preserve">      </w:t>
    </w:r>
    <w:r w:rsidR="003875BE">
      <w:tab/>
    </w:r>
    <w:r w:rsidR="003875BE">
      <w:tab/>
    </w:r>
    <w:r w:rsidR="003875BE">
      <w:tab/>
    </w:r>
    <w:r w:rsidR="003875BE">
      <w:tab/>
    </w:r>
    <w:r w:rsidR="003875BE">
      <w:tab/>
    </w:r>
    <w:r w:rsidR="003875BE">
      <w:tab/>
    </w:r>
    <w:r w:rsidR="003875BE">
      <w:tab/>
    </w:r>
    <w:r w:rsidR="003875BE">
      <w:tab/>
    </w:r>
    <w:r w:rsidR="003875BE">
      <w:tab/>
    </w:r>
  </w:p>
  <w:p w14:paraId="57CB18A9" w14:textId="77777777" w:rsidR="001E7D2A" w:rsidRDefault="001E7D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32D" w14:textId="1ACD32D0" w:rsidR="001E7D2A" w:rsidRPr="00756FD7" w:rsidRDefault="00207D81">
    <w:pPr>
      <w:rPr>
        <w:b/>
        <w:u w:val="single"/>
      </w:rPr>
    </w:pPr>
    <w:r>
      <w:rPr>
        <w:b/>
        <w:noProof/>
        <w:lang w:eastAsia="da-DK"/>
      </w:rPr>
      <mc:AlternateContent>
        <mc:Choice Requires="wps">
          <w:drawing>
            <wp:anchor distT="0" distB="0" distL="114300" distR="114300" simplePos="0" relativeHeight="251654656" behindDoc="0" locked="0" layoutInCell="1" allowOverlap="1" wp14:anchorId="2FBD2E80" wp14:editId="3C9E0A3A">
              <wp:simplePos x="0" y="0"/>
              <wp:positionH relativeFrom="page">
                <wp:posOffset>5705475</wp:posOffset>
              </wp:positionH>
              <wp:positionV relativeFrom="page">
                <wp:posOffset>1333500</wp:posOffset>
              </wp:positionV>
              <wp:extent cx="1476375" cy="6477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994B6" w14:textId="5E66F7D6" w:rsidR="001E7D2A" w:rsidRDefault="00B2265E" w:rsidP="00207D81">
                          <w:pPr>
                            <w:pStyle w:val="Afsender"/>
                          </w:pPr>
                          <w:r>
                            <w:t>27</w:t>
                          </w:r>
                          <w:r w:rsidR="00207D81">
                            <w:t xml:space="preserve">. </w:t>
                          </w:r>
                          <w:r>
                            <w:t>februar</w:t>
                          </w:r>
                          <w:r w:rsidR="00207D81">
                            <w:t xml:space="preserve"> 202</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D2E80" id="_x0000_t202" coordsize="21600,21600" o:spt="202" path="m,l,21600r21600,l21600,xe">
              <v:stroke joinstyle="miter"/>
              <v:path gradientshapeok="t" o:connecttype="rect"/>
            </v:shapetype>
            <v:shape id="Text Box 2" o:spid="_x0000_s1026" type="#_x0000_t202" style="position:absolute;margin-left:449.25pt;margin-top:105pt;width:116.25pt;height:5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" filled="f" stroked="f">
              <v:textbox inset="0,0,0,0">
                <w:txbxContent>
                  <w:p w14:paraId="5F0994B6" w14:textId="5E66F7D6" w:rsidR="001E7D2A" w:rsidRDefault="00B2265E" w:rsidP="00207D81">
                    <w:pPr>
                      <w:pStyle w:val="Afsender"/>
                    </w:pPr>
                    <w:r>
                      <w:t>27</w:t>
                    </w:r>
                    <w:r w:rsidR="00207D81">
                      <w:t xml:space="preserve">. </w:t>
                    </w:r>
                    <w:r>
                      <w:t>februar</w:t>
                    </w:r>
                    <w:r w:rsidR="00207D81">
                      <w:t xml:space="preserve"> 202</w:t>
                    </w:r>
                    <w:r>
                      <w:t>5</w:t>
                    </w:r>
                  </w:p>
                </w:txbxContent>
              </v:textbox>
              <w10:wrap anchorx="page" anchory="page"/>
            </v:shape>
          </w:pict>
        </mc:Fallback>
      </mc:AlternateContent>
    </w:r>
    <w:r w:rsidR="00CA1F57">
      <w:rPr>
        <w:b/>
        <w:noProof/>
        <w:lang w:eastAsia="da-DK"/>
      </w:rPr>
      <w:drawing>
        <wp:anchor distT="0" distB="0" distL="114300" distR="114300" simplePos="0" relativeHeight="251657728" behindDoc="0" locked="0" layoutInCell="1" allowOverlap="1" wp14:anchorId="69C1C85A" wp14:editId="7CC34EC3">
          <wp:simplePos x="0" y="0"/>
          <wp:positionH relativeFrom="column">
            <wp:posOffset>3810000</wp:posOffset>
          </wp:positionH>
          <wp:positionV relativeFrom="paragraph">
            <wp:posOffset>165735</wp:posOffset>
          </wp:positionV>
          <wp:extent cx="2329180" cy="643890"/>
          <wp:effectExtent l="0" t="0" r="0" b="3810"/>
          <wp:wrapNone/>
          <wp:docPr id="27" name="Billede 27" descr="jernbane_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ernbane_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643890"/>
                  </a:xfrm>
                  <a:prstGeom prst="rect">
                    <a:avLst/>
                  </a:prstGeom>
                  <a:noFill/>
                </pic:spPr>
              </pic:pic>
            </a:graphicData>
          </a:graphic>
          <wp14:sizeRelH relativeFrom="page">
            <wp14:pctWidth>0</wp14:pctWidth>
          </wp14:sizeRelH>
          <wp14:sizeRelV relativeFrom="page">
            <wp14:pctHeight>0</wp14:pctHeight>
          </wp14:sizeRelV>
        </wp:anchor>
      </w:drawing>
    </w:r>
    <w:r w:rsidR="00B2265E">
      <w:rPr>
        <w:b/>
      </w:rPr>
      <w:t>ENDELIG</w:t>
    </w:r>
    <w:r w:rsidR="00EC08BD">
      <w:rPr>
        <w:b/>
      </w:rPr>
      <w:t>T</w:t>
    </w:r>
    <w:r w:rsidR="00B2265E">
      <w:rPr>
        <w:b/>
      </w:rPr>
      <w:t xml:space="preserve"> VEDTAGE</w:t>
    </w:r>
    <w:r w:rsidR="00EC08BD">
      <w:rPr>
        <w:b/>
      </w:rPr>
      <w:t>T 27. FEBRUAR 2025</w:t>
    </w:r>
    <w:r w:rsidR="001E7D2A" w:rsidRPr="00756FD7">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93E"/>
    <w:multiLevelType w:val="hybridMultilevel"/>
    <w:tmpl w:val="6B982924"/>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 w15:restartNumberingAfterBreak="0">
    <w:nsid w:val="179D0B3B"/>
    <w:multiLevelType w:val="hybridMultilevel"/>
    <w:tmpl w:val="17A46F64"/>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 w15:restartNumberingAfterBreak="0">
    <w:nsid w:val="1A9D2DF4"/>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30FA36A3"/>
    <w:multiLevelType w:val="hybridMultilevel"/>
    <w:tmpl w:val="471A1064"/>
    <w:lvl w:ilvl="0" w:tplc="1D6E6C6E">
      <w:start w:val="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2520713"/>
    <w:multiLevelType w:val="multilevel"/>
    <w:tmpl w:val="D98EB3EA"/>
    <w:lvl w:ilvl="0">
      <w:start w:val="1"/>
      <w:numFmt w:val="bullet"/>
      <w:pStyle w:val="Liste"/>
      <w:lvlText w:val=""/>
      <w:lvlJc w:val="left"/>
      <w:pPr>
        <w:tabs>
          <w:tab w:val="num" w:pos="1931"/>
        </w:tabs>
        <w:ind w:left="1928" w:hanging="357"/>
      </w:pPr>
      <w:rPr>
        <w:rFonts w:ascii="Symbol" w:hAnsi="Symbol" w:hint="default"/>
      </w:rPr>
    </w:lvl>
    <w:lvl w:ilvl="1">
      <w:start w:val="1"/>
      <w:numFmt w:val="bullet"/>
      <w:lvlRestart w:val="0"/>
      <w:lvlText w:val=""/>
      <w:lvlJc w:val="left"/>
      <w:pPr>
        <w:tabs>
          <w:tab w:val="num" w:pos="2288"/>
        </w:tabs>
        <w:ind w:left="2285" w:hanging="357"/>
      </w:pPr>
      <w:rPr>
        <w:rFonts w:ascii="Symbol" w:hAnsi="Symbol" w:hint="default"/>
      </w:rPr>
    </w:lvl>
    <w:lvl w:ilvl="2">
      <w:start w:val="1"/>
      <w:numFmt w:val="bullet"/>
      <w:lvlRestart w:val="0"/>
      <w:lvlText w:val=""/>
      <w:lvlJc w:val="left"/>
      <w:pPr>
        <w:tabs>
          <w:tab w:val="num" w:pos="2645"/>
        </w:tabs>
        <w:ind w:left="2642" w:hanging="357"/>
      </w:pPr>
      <w:rPr>
        <w:rFonts w:ascii="Symbol" w:hAnsi="Symbol" w:hint="default"/>
      </w:rPr>
    </w:lvl>
    <w:lvl w:ilvl="3">
      <w:start w:val="1"/>
      <w:numFmt w:val="bullet"/>
      <w:lvlRestart w:val="0"/>
      <w:lvlText w:val=""/>
      <w:lvlJc w:val="left"/>
      <w:pPr>
        <w:tabs>
          <w:tab w:val="num" w:pos="3002"/>
        </w:tabs>
        <w:ind w:left="2999" w:hanging="357"/>
      </w:pPr>
      <w:rPr>
        <w:rFonts w:ascii="Symbol" w:hAnsi="Symbol" w:hint="default"/>
      </w:rPr>
    </w:lvl>
    <w:lvl w:ilvl="4">
      <w:start w:val="1"/>
      <w:numFmt w:val="bullet"/>
      <w:lvlRestart w:val="0"/>
      <w:lvlText w:val="-"/>
      <w:lvlJc w:val="left"/>
      <w:pPr>
        <w:tabs>
          <w:tab w:val="num" w:pos="3359"/>
        </w:tabs>
        <w:ind w:left="3357" w:hanging="358"/>
      </w:pPr>
      <w:rPr>
        <w:rFonts w:ascii="Times New Roman" w:hAnsi="Times New Roman" w:hint="default"/>
      </w:rPr>
    </w:lvl>
    <w:lvl w:ilvl="5">
      <w:start w:val="1"/>
      <w:numFmt w:val="bullet"/>
      <w:lvlText w:val=""/>
      <w:lvlJc w:val="left"/>
      <w:pPr>
        <w:tabs>
          <w:tab w:val="num" w:pos="4349"/>
        </w:tabs>
        <w:ind w:left="4349" w:hanging="567"/>
      </w:pPr>
      <w:rPr>
        <w:rFonts w:ascii="Wingdings" w:hAnsi="Wingdings" w:hint="default"/>
      </w:rPr>
    </w:lvl>
    <w:lvl w:ilvl="6">
      <w:start w:val="1"/>
      <w:numFmt w:val="bullet"/>
      <w:lvlText w:val=""/>
      <w:lvlJc w:val="left"/>
      <w:pPr>
        <w:tabs>
          <w:tab w:val="num" w:pos="4349"/>
        </w:tabs>
        <w:ind w:left="4349" w:hanging="567"/>
      </w:pPr>
      <w:rPr>
        <w:rFonts w:ascii="Wingdings" w:hAnsi="Wingdings" w:hint="default"/>
      </w:rPr>
    </w:lvl>
    <w:lvl w:ilvl="7">
      <w:start w:val="1"/>
      <w:numFmt w:val="bullet"/>
      <w:lvlText w:val=""/>
      <w:lvlJc w:val="left"/>
      <w:pPr>
        <w:tabs>
          <w:tab w:val="num" w:pos="4462"/>
        </w:tabs>
        <w:ind w:left="4462" w:hanging="680"/>
      </w:pPr>
      <w:rPr>
        <w:rFonts w:ascii="Symbol" w:hAnsi="Symbol" w:hint="default"/>
      </w:rPr>
    </w:lvl>
    <w:lvl w:ilvl="8">
      <w:start w:val="1"/>
      <w:numFmt w:val="bullet"/>
      <w:lvlRestart w:val="0"/>
      <w:lvlText w:val=""/>
      <w:lvlJc w:val="left"/>
      <w:pPr>
        <w:tabs>
          <w:tab w:val="num" w:pos="4349"/>
        </w:tabs>
        <w:ind w:left="4349" w:hanging="567"/>
      </w:pPr>
      <w:rPr>
        <w:rFonts w:ascii="Symbol" w:hAnsi="Symbol" w:hint="default"/>
      </w:rPr>
    </w:lvl>
  </w:abstractNum>
  <w:abstractNum w:abstractNumId="5" w15:restartNumberingAfterBreak="0">
    <w:nsid w:val="510B55A5"/>
    <w:multiLevelType w:val="hybridMultilevel"/>
    <w:tmpl w:val="A1DC1420"/>
    <w:lvl w:ilvl="0" w:tplc="018EE08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5441404">
    <w:abstractNumId w:val="2"/>
  </w:num>
  <w:num w:numId="2" w16cid:durableId="1936355363">
    <w:abstractNumId w:val="4"/>
  </w:num>
  <w:num w:numId="3" w16cid:durableId="319817530">
    <w:abstractNumId w:val="0"/>
  </w:num>
  <w:num w:numId="4" w16cid:durableId="1014386012">
    <w:abstractNumId w:val="1"/>
  </w:num>
  <w:num w:numId="5" w16cid:durableId="334654016">
    <w:abstractNumId w:val="3"/>
  </w:num>
  <w:num w:numId="6" w16cid:durableId="219082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C8"/>
    <w:rsid w:val="0000190C"/>
    <w:rsid w:val="00003D52"/>
    <w:rsid w:val="0002184B"/>
    <w:rsid w:val="00022132"/>
    <w:rsid w:val="0002291A"/>
    <w:rsid w:val="00030D82"/>
    <w:rsid w:val="00037E1F"/>
    <w:rsid w:val="00050936"/>
    <w:rsid w:val="00055B6F"/>
    <w:rsid w:val="000659BF"/>
    <w:rsid w:val="000667A4"/>
    <w:rsid w:val="000725C3"/>
    <w:rsid w:val="00073228"/>
    <w:rsid w:val="00073F19"/>
    <w:rsid w:val="0007555F"/>
    <w:rsid w:val="000755D6"/>
    <w:rsid w:val="000762F6"/>
    <w:rsid w:val="000803A3"/>
    <w:rsid w:val="000826B5"/>
    <w:rsid w:val="00086617"/>
    <w:rsid w:val="00093B8F"/>
    <w:rsid w:val="00095888"/>
    <w:rsid w:val="000A2C1C"/>
    <w:rsid w:val="000B42EC"/>
    <w:rsid w:val="000B5493"/>
    <w:rsid w:val="000B5BDA"/>
    <w:rsid w:val="000C4739"/>
    <w:rsid w:val="000C6396"/>
    <w:rsid w:val="000D52FF"/>
    <w:rsid w:val="000E4D7C"/>
    <w:rsid w:val="000E61C1"/>
    <w:rsid w:val="000F15E7"/>
    <w:rsid w:val="000F2E39"/>
    <w:rsid w:val="000F4BA9"/>
    <w:rsid w:val="00107ABB"/>
    <w:rsid w:val="00113FE4"/>
    <w:rsid w:val="00115619"/>
    <w:rsid w:val="00116A8D"/>
    <w:rsid w:val="001244E4"/>
    <w:rsid w:val="0012759D"/>
    <w:rsid w:val="00134BDC"/>
    <w:rsid w:val="00144DB3"/>
    <w:rsid w:val="001519DF"/>
    <w:rsid w:val="00153DB3"/>
    <w:rsid w:val="00157464"/>
    <w:rsid w:val="00162668"/>
    <w:rsid w:val="00165AB4"/>
    <w:rsid w:val="001700B5"/>
    <w:rsid w:val="0017086E"/>
    <w:rsid w:val="001729EA"/>
    <w:rsid w:val="00174B50"/>
    <w:rsid w:val="00176930"/>
    <w:rsid w:val="00176DA2"/>
    <w:rsid w:val="00182738"/>
    <w:rsid w:val="00184FF8"/>
    <w:rsid w:val="00186DBA"/>
    <w:rsid w:val="001874D4"/>
    <w:rsid w:val="0019710C"/>
    <w:rsid w:val="001B0B73"/>
    <w:rsid w:val="001D1ED7"/>
    <w:rsid w:val="001D4B7F"/>
    <w:rsid w:val="001D683A"/>
    <w:rsid w:val="001D72C8"/>
    <w:rsid w:val="001E7D2A"/>
    <w:rsid w:val="001F44F7"/>
    <w:rsid w:val="001F7E48"/>
    <w:rsid w:val="00206B1C"/>
    <w:rsid w:val="00207D81"/>
    <w:rsid w:val="00211B5F"/>
    <w:rsid w:val="00220B1D"/>
    <w:rsid w:val="00220DE7"/>
    <w:rsid w:val="0022188F"/>
    <w:rsid w:val="00222710"/>
    <w:rsid w:val="00222E92"/>
    <w:rsid w:val="002240EB"/>
    <w:rsid w:val="0022496B"/>
    <w:rsid w:val="0023322F"/>
    <w:rsid w:val="00234296"/>
    <w:rsid w:val="00244B30"/>
    <w:rsid w:val="00250A98"/>
    <w:rsid w:val="0025389D"/>
    <w:rsid w:val="0025430D"/>
    <w:rsid w:val="0025526B"/>
    <w:rsid w:val="00262695"/>
    <w:rsid w:val="002658DC"/>
    <w:rsid w:val="00270DB4"/>
    <w:rsid w:val="002758C7"/>
    <w:rsid w:val="00281E40"/>
    <w:rsid w:val="00286B42"/>
    <w:rsid w:val="0028719F"/>
    <w:rsid w:val="00292DDE"/>
    <w:rsid w:val="00296ABE"/>
    <w:rsid w:val="00296ED9"/>
    <w:rsid w:val="002A2F0E"/>
    <w:rsid w:val="002B2AE5"/>
    <w:rsid w:val="002B4867"/>
    <w:rsid w:val="002C056F"/>
    <w:rsid w:val="002C0FCB"/>
    <w:rsid w:val="002C4002"/>
    <w:rsid w:val="002C73E7"/>
    <w:rsid w:val="002D7BF2"/>
    <w:rsid w:val="002E0602"/>
    <w:rsid w:val="002E5E8D"/>
    <w:rsid w:val="002F40E2"/>
    <w:rsid w:val="002F5F8E"/>
    <w:rsid w:val="00310671"/>
    <w:rsid w:val="00323A88"/>
    <w:rsid w:val="00326FD8"/>
    <w:rsid w:val="00332966"/>
    <w:rsid w:val="003342AE"/>
    <w:rsid w:val="00335A08"/>
    <w:rsid w:val="00344E1C"/>
    <w:rsid w:val="00345EF1"/>
    <w:rsid w:val="00355F12"/>
    <w:rsid w:val="00370E86"/>
    <w:rsid w:val="00371B35"/>
    <w:rsid w:val="00371E18"/>
    <w:rsid w:val="00377380"/>
    <w:rsid w:val="003832CE"/>
    <w:rsid w:val="003875BE"/>
    <w:rsid w:val="00391B83"/>
    <w:rsid w:val="00392744"/>
    <w:rsid w:val="00393682"/>
    <w:rsid w:val="003949D2"/>
    <w:rsid w:val="00396878"/>
    <w:rsid w:val="003A3608"/>
    <w:rsid w:val="003A650D"/>
    <w:rsid w:val="003B01F0"/>
    <w:rsid w:val="003B2DC7"/>
    <w:rsid w:val="003B79B3"/>
    <w:rsid w:val="003E4D3C"/>
    <w:rsid w:val="003E7A1F"/>
    <w:rsid w:val="003F79EB"/>
    <w:rsid w:val="00402A4F"/>
    <w:rsid w:val="0040300C"/>
    <w:rsid w:val="00403A4F"/>
    <w:rsid w:val="00403BAD"/>
    <w:rsid w:val="00405D06"/>
    <w:rsid w:val="004066BD"/>
    <w:rsid w:val="0042214B"/>
    <w:rsid w:val="00423F14"/>
    <w:rsid w:val="004267D2"/>
    <w:rsid w:val="0043030F"/>
    <w:rsid w:val="00437A27"/>
    <w:rsid w:val="004468BB"/>
    <w:rsid w:val="004630AE"/>
    <w:rsid w:val="00463798"/>
    <w:rsid w:val="004724A7"/>
    <w:rsid w:val="00474FC5"/>
    <w:rsid w:val="00474FE5"/>
    <w:rsid w:val="004760E6"/>
    <w:rsid w:val="00484D88"/>
    <w:rsid w:val="0048744E"/>
    <w:rsid w:val="00487588"/>
    <w:rsid w:val="00487F4C"/>
    <w:rsid w:val="004A12D2"/>
    <w:rsid w:val="004A3C96"/>
    <w:rsid w:val="004A4252"/>
    <w:rsid w:val="004A7D5D"/>
    <w:rsid w:val="004B2519"/>
    <w:rsid w:val="004B321B"/>
    <w:rsid w:val="004B6053"/>
    <w:rsid w:val="004C2D92"/>
    <w:rsid w:val="004C43C7"/>
    <w:rsid w:val="004D1ADE"/>
    <w:rsid w:val="004D27E4"/>
    <w:rsid w:val="004E39FC"/>
    <w:rsid w:val="004E6AF4"/>
    <w:rsid w:val="004E7E69"/>
    <w:rsid w:val="004F024D"/>
    <w:rsid w:val="004F575E"/>
    <w:rsid w:val="004F7022"/>
    <w:rsid w:val="00500CD2"/>
    <w:rsid w:val="00501475"/>
    <w:rsid w:val="00503CD3"/>
    <w:rsid w:val="00506105"/>
    <w:rsid w:val="00524790"/>
    <w:rsid w:val="00525423"/>
    <w:rsid w:val="00531C34"/>
    <w:rsid w:val="005373A8"/>
    <w:rsid w:val="00543813"/>
    <w:rsid w:val="00545311"/>
    <w:rsid w:val="0054697E"/>
    <w:rsid w:val="0054764F"/>
    <w:rsid w:val="00552C27"/>
    <w:rsid w:val="005547D7"/>
    <w:rsid w:val="005571CB"/>
    <w:rsid w:val="0056221F"/>
    <w:rsid w:val="0056360B"/>
    <w:rsid w:val="00564756"/>
    <w:rsid w:val="00565218"/>
    <w:rsid w:val="00573993"/>
    <w:rsid w:val="00573FC0"/>
    <w:rsid w:val="005748F6"/>
    <w:rsid w:val="005770C5"/>
    <w:rsid w:val="00584096"/>
    <w:rsid w:val="005919D6"/>
    <w:rsid w:val="00591E99"/>
    <w:rsid w:val="005944A4"/>
    <w:rsid w:val="00596316"/>
    <w:rsid w:val="005A0035"/>
    <w:rsid w:val="005A00A3"/>
    <w:rsid w:val="005A2022"/>
    <w:rsid w:val="005B2212"/>
    <w:rsid w:val="005B485B"/>
    <w:rsid w:val="005C0D1F"/>
    <w:rsid w:val="005C3D25"/>
    <w:rsid w:val="005C5833"/>
    <w:rsid w:val="005D0C09"/>
    <w:rsid w:val="005D1E97"/>
    <w:rsid w:val="005D3EB5"/>
    <w:rsid w:val="005E36C4"/>
    <w:rsid w:val="005E3B7E"/>
    <w:rsid w:val="005E5355"/>
    <w:rsid w:val="005E7E19"/>
    <w:rsid w:val="005F0FBD"/>
    <w:rsid w:val="005F11D9"/>
    <w:rsid w:val="005F2CB8"/>
    <w:rsid w:val="005F4179"/>
    <w:rsid w:val="005F5F26"/>
    <w:rsid w:val="005F7CEB"/>
    <w:rsid w:val="006014E1"/>
    <w:rsid w:val="00605ECA"/>
    <w:rsid w:val="00607ECA"/>
    <w:rsid w:val="006158EB"/>
    <w:rsid w:val="00616C20"/>
    <w:rsid w:val="006209AD"/>
    <w:rsid w:val="00625C6D"/>
    <w:rsid w:val="006372B2"/>
    <w:rsid w:val="00640E92"/>
    <w:rsid w:val="00641291"/>
    <w:rsid w:val="006414EF"/>
    <w:rsid w:val="00652A7D"/>
    <w:rsid w:val="00653A73"/>
    <w:rsid w:val="006549AC"/>
    <w:rsid w:val="00660094"/>
    <w:rsid w:val="00665328"/>
    <w:rsid w:val="0066664A"/>
    <w:rsid w:val="006730DE"/>
    <w:rsid w:val="0067499A"/>
    <w:rsid w:val="00676440"/>
    <w:rsid w:val="00687E83"/>
    <w:rsid w:val="006959BA"/>
    <w:rsid w:val="006967BD"/>
    <w:rsid w:val="00696CE7"/>
    <w:rsid w:val="006A04C8"/>
    <w:rsid w:val="006A0AFF"/>
    <w:rsid w:val="006A7345"/>
    <w:rsid w:val="006C0DE8"/>
    <w:rsid w:val="006E2678"/>
    <w:rsid w:val="006E7741"/>
    <w:rsid w:val="006F13A9"/>
    <w:rsid w:val="00707D5F"/>
    <w:rsid w:val="00713379"/>
    <w:rsid w:val="00721422"/>
    <w:rsid w:val="0072528F"/>
    <w:rsid w:val="00726973"/>
    <w:rsid w:val="007304EA"/>
    <w:rsid w:val="00733622"/>
    <w:rsid w:val="00740BE9"/>
    <w:rsid w:val="0074567F"/>
    <w:rsid w:val="00746ADA"/>
    <w:rsid w:val="00746E06"/>
    <w:rsid w:val="00751ACF"/>
    <w:rsid w:val="00756FD7"/>
    <w:rsid w:val="00757588"/>
    <w:rsid w:val="007604D0"/>
    <w:rsid w:val="007748F3"/>
    <w:rsid w:val="007760B9"/>
    <w:rsid w:val="007839C8"/>
    <w:rsid w:val="00787116"/>
    <w:rsid w:val="007907C9"/>
    <w:rsid w:val="00796316"/>
    <w:rsid w:val="007964DB"/>
    <w:rsid w:val="007A2303"/>
    <w:rsid w:val="007A709D"/>
    <w:rsid w:val="007B2EBE"/>
    <w:rsid w:val="007B40C5"/>
    <w:rsid w:val="007B4195"/>
    <w:rsid w:val="007B6933"/>
    <w:rsid w:val="007C333E"/>
    <w:rsid w:val="007C45E7"/>
    <w:rsid w:val="007C5EC4"/>
    <w:rsid w:val="007C6E26"/>
    <w:rsid w:val="007F4558"/>
    <w:rsid w:val="007F5B2C"/>
    <w:rsid w:val="007F6425"/>
    <w:rsid w:val="00805B70"/>
    <w:rsid w:val="00806CA7"/>
    <w:rsid w:val="008109CB"/>
    <w:rsid w:val="008118D3"/>
    <w:rsid w:val="008167C1"/>
    <w:rsid w:val="00821867"/>
    <w:rsid w:val="00826B95"/>
    <w:rsid w:val="0083255A"/>
    <w:rsid w:val="00837B2B"/>
    <w:rsid w:val="0084416B"/>
    <w:rsid w:val="00846D58"/>
    <w:rsid w:val="00847085"/>
    <w:rsid w:val="008522F3"/>
    <w:rsid w:val="00857B62"/>
    <w:rsid w:val="00860B7A"/>
    <w:rsid w:val="008634FF"/>
    <w:rsid w:val="008656A1"/>
    <w:rsid w:val="00866116"/>
    <w:rsid w:val="00885DAE"/>
    <w:rsid w:val="00891A79"/>
    <w:rsid w:val="00892D88"/>
    <w:rsid w:val="008972A5"/>
    <w:rsid w:val="008A072D"/>
    <w:rsid w:val="008A32D6"/>
    <w:rsid w:val="008A3BB1"/>
    <w:rsid w:val="008A436E"/>
    <w:rsid w:val="008B157D"/>
    <w:rsid w:val="008B1920"/>
    <w:rsid w:val="008B5454"/>
    <w:rsid w:val="008B634B"/>
    <w:rsid w:val="008B7EFD"/>
    <w:rsid w:val="008C2143"/>
    <w:rsid w:val="008C4AD5"/>
    <w:rsid w:val="008D04DC"/>
    <w:rsid w:val="008D463E"/>
    <w:rsid w:val="008E2366"/>
    <w:rsid w:val="008E28EF"/>
    <w:rsid w:val="008E5A46"/>
    <w:rsid w:val="008F0D2E"/>
    <w:rsid w:val="008F18D3"/>
    <w:rsid w:val="009008DE"/>
    <w:rsid w:val="00901A33"/>
    <w:rsid w:val="009023D5"/>
    <w:rsid w:val="0090640B"/>
    <w:rsid w:val="0091025C"/>
    <w:rsid w:val="009104CE"/>
    <w:rsid w:val="00911B3E"/>
    <w:rsid w:val="009141C4"/>
    <w:rsid w:val="00920BCD"/>
    <w:rsid w:val="00921508"/>
    <w:rsid w:val="0092251F"/>
    <w:rsid w:val="00934677"/>
    <w:rsid w:val="009427C5"/>
    <w:rsid w:val="00943DF0"/>
    <w:rsid w:val="00963560"/>
    <w:rsid w:val="00975564"/>
    <w:rsid w:val="009809BC"/>
    <w:rsid w:val="0098157C"/>
    <w:rsid w:val="00982489"/>
    <w:rsid w:val="0099004B"/>
    <w:rsid w:val="0099051F"/>
    <w:rsid w:val="00992A3A"/>
    <w:rsid w:val="009A51D1"/>
    <w:rsid w:val="009B0D4B"/>
    <w:rsid w:val="009B12CC"/>
    <w:rsid w:val="009B4365"/>
    <w:rsid w:val="009B5632"/>
    <w:rsid w:val="009C02FE"/>
    <w:rsid w:val="009C4506"/>
    <w:rsid w:val="009C4655"/>
    <w:rsid w:val="009D292E"/>
    <w:rsid w:val="009D3C22"/>
    <w:rsid w:val="009D4D67"/>
    <w:rsid w:val="009E09D8"/>
    <w:rsid w:val="009E132C"/>
    <w:rsid w:val="009E1A54"/>
    <w:rsid w:val="009F0287"/>
    <w:rsid w:val="009F0C15"/>
    <w:rsid w:val="009F59E6"/>
    <w:rsid w:val="00A11547"/>
    <w:rsid w:val="00A1509D"/>
    <w:rsid w:val="00A16990"/>
    <w:rsid w:val="00A2014E"/>
    <w:rsid w:val="00A203A6"/>
    <w:rsid w:val="00A21DD9"/>
    <w:rsid w:val="00A26D6D"/>
    <w:rsid w:val="00A27F73"/>
    <w:rsid w:val="00A30DA0"/>
    <w:rsid w:val="00A317BD"/>
    <w:rsid w:val="00A32313"/>
    <w:rsid w:val="00A3241A"/>
    <w:rsid w:val="00A360CC"/>
    <w:rsid w:val="00A410EC"/>
    <w:rsid w:val="00A41D95"/>
    <w:rsid w:val="00A451FF"/>
    <w:rsid w:val="00A45EC8"/>
    <w:rsid w:val="00A46C79"/>
    <w:rsid w:val="00A5197D"/>
    <w:rsid w:val="00A52A2B"/>
    <w:rsid w:val="00A54FFE"/>
    <w:rsid w:val="00A56731"/>
    <w:rsid w:val="00A65D94"/>
    <w:rsid w:val="00A70C0F"/>
    <w:rsid w:val="00A74103"/>
    <w:rsid w:val="00A9593B"/>
    <w:rsid w:val="00A96256"/>
    <w:rsid w:val="00AA3E47"/>
    <w:rsid w:val="00AA6EDA"/>
    <w:rsid w:val="00AB05E6"/>
    <w:rsid w:val="00AB255C"/>
    <w:rsid w:val="00AB497D"/>
    <w:rsid w:val="00AB52D6"/>
    <w:rsid w:val="00AB58DE"/>
    <w:rsid w:val="00AB7D50"/>
    <w:rsid w:val="00AC1FDE"/>
    <w:rsid w:val="00AC3E12"/>
    <w:rsid w:val="00AC462C"/>
    <w:rsid w:val="00AC5AF8"/>
    <w:rsid w:val="00AD5740"/>
    <w:rsid w:val="00AD5999"/>
    <w:rsid w:val="00AE056F"/>
    <w:rsid w:val="00AE2A8E"/>
    <w:rsid w:val="00AF0CC6"/>
    <w:rsid w:val="00AF2007"/>
    <w:rsid w:val="00AF7E02"/>
    <w:rsid w:val="00B014D3"/>
    <w:rsid w:val="00B1519A"/>
    <w:rsid w:val="00B15E76"/>
    <w:rsid w:val="00B2265E"/>
    <w:rsid w:val="00B24D08"/>
    <w:rsid w:val="00B26D9A"/>
    <w:rsid w:val="00B306EB"/>
    <w:rsid w:val="00B339D2"/>
    <w:rsid w:val="00B408A8"/>
    <w:rsid w:val="00B471CC"/>
    <w:rsid w:val="00B530FD"/>
    <w:rsid w:val="00B6032D"/>
    <w:rsid w:val="00B61865"/>
    <w:rsid w:val="00B618B3"/>
    <w:rsid w:val="00B70C7A"/>
    <w:rsid w:val="00B72283"/>
    <w:rsid w:val="00B800AF"/>
    <w:rsid w:val="00B81AA6"/>
    <w:rsid w:val="00B842FA"/>
    <w:rsid w:val="00B941DE"/>
    <w:rsid w:val="00B95180"/>
    <w:rsid w:val="00BA2306"/>
    <w:rsid w:val="00BB2EBF"/>
    <w:rsid w:val="00BB5579"/>
    <w:rsid w:val="00BC1FB8"/>
    <w:rsid w:val="00BC33F8"/>
    <w:rsid w:val="00BC357C"/>
    <w:rsid w:val="00BC598B"/>
    <w:rsid w:val="00BD65CE"/>
    <w:rsid w:val="00BD6DC2"/>
    <w:rsid w:val="00BE15A5"/>
    <w:rsid w:val="00C041BD"/>
    <w:rsid w:val="00C129B8"/>
    <w:rsid w:val="00C152BB"/>
    <w:rsid w:val="00C15F97"/>
    <w:rsid w:val="00C22121"/>
    <w:rsid w:val="00C22757"/>
    <w:rsid w:val="00C232E3"/>
    <w:rsid w:val="00C254D7"/>
    <w:rsid w:val="00C300D6"/>
    <w:rsid w:val="00C33E5D"/>
    <w:rsid w:val="00C3675F"/>
    <w:rsid w:val="00C44868"/>
    <w:rsid w:val="00C45FA2"/>
    <w:rsid w:val="00C531E5"/>
    <w:rsid w:val="00C53D0B"/>
    <w:rsid w:val="00C55EDF"/>
    <w:rsid w:val="00C56433"/>
    <w:rsid w:val="00C725E2"/>
    <w:rsid w:val="00C74518"/>
    <w:rsid w:val="00C82D9F"/>
    <w:rsid w:val="00C90D7F"/>
    <w:rsid w:val="00C97BFD"/>
    <w:rsid w:val="00CA1F57"/>
    <w:rsid w:val="00CA5112"/>
    <w:rsid w:val="00CA6CD5"/>
    <w:rsid w:val="00CA6E0D"/>
    <w:rsid w:val="00CB1394"/>
    <w:rsid w:val="00CB1D30"/>
    <w:rsid w:val="00CB3FCE"/>
    <w:rsid w:val="00CC1622"/>
    <w:rsid w:val="00CC2C06"/>
    <w:rsid w:val="00CC475C"/>
    <w:rsid w:val="00CC67C2"/>
    <w:rsid w:val="00CD095B"/>
    <w:rsid w:val="00CE6309"/>
    <w:rsid w:val="00CF1E4E"/>
    <w:rsid w:val="00D10BD4"/>
    <w:rsid w:val="00D12C1F"/>
    <w:rsid w:val="00D13838"/>
    <w:rsid w:val="00D15F93"/>
    <w:rsid w:val="00D2131B"/>
    <w:rsid w:val="00D22FED"/>
    <w:rsid w:val="00D24D86"/>
    <w:rsid w:val="00D267F8"/>
    <w:rsid w:val="00D30F83"/>
    <w:rsid w:val="00D33518"/>
    <w:rsid w:val="00D40AB2"/>
    <w:rsid w:val="00D410A0"/>
    <w:rsid w:val="00D426DA"/>
    <w:rsid w:val="00D44EA5"/>
    <w:rsid w:val="00D467BE"/>
    <w:rsid w:val="00D55039"/>
    <w:rsid w:val="00D679BE"/>
    <w:rsid w:val="00D701FE"/>
    <w:rsid w:val="00D76F15"/>
    <w:rsid w:val="00D77640"/>
    <w:rsid w:val="00D77797"/>
    <w:rsid w:val="00D83680"/>
    <w:rsid w:val="00D86A49"/>
    <w:rsid w:val="00D87A6A"/>
    <w:rsid w:val="00D9526D"/>
    <w:rsid w:val="00DA3515"/>
    <w:rsid w:val="00DA5E78"/>
    <w:rsid w:val="00DB2264"/>
    <w:rsid w:val="00DB37EE"/>
    <w:rsid w:val="00DB4069"/>
    <w:rsid w:val="00DB6042"/>
    <w:rsid w:val="00DD0369"/>
    <w:rsid w:val="00DD1D3F"/>
    <w:rsid w:val="00DD228D"/>
    <w:rsid w:val="00DD4115"/>
    <w:rsid w:val="00DD7243"/>
    <w:rsid w:val="00DE54FF"/>
    <w:rsid w:val="00DE62A0"/>
    <w:rsid w:val="00DF5BA8"/>
    <w:rsid w:val="00DF5EC8"/>
    <w:rsid w:val="00DF7E8D"/>
    <w:rsid w:val="00E0255A"/>
    <w:rsid w:val="00E06E8E"/>
    <w:rsid w:val="00E171C8"/>
    <w:rsid w:val="00E214A6"/>
    <w:rsid w:val="00E225F1"/>
    <w:rsid w:val="00E23B34"/>
    <w:rsid w:val="00E24BCF"/>
    <w:rsid w:val="00E32EFF"/>
    <w:rsid w:val="00E353BF"/>
    <w:rsid w:val="00E37F98"/>
    <w:rsid w:val="00E4022E"/>
    <w:rsid w:val="00E4116D"/>
    <w:rsid w:val="00E447DF"/>
    <w:rsid w:val="00E46E64"/>
    <w:rsid w:val="00E51F84"/>
    <w:rsid w:val="00E55820"/>
    <w:rsid w:val="00E55F0F"/>
    <w:rsid w:val="00E61E9B"/>
    <w:rsid w:val="00E66ABE"/>
    <w:rsid w:val="00E71984"/>
    <w:rsid w:val="00E71F1D"/>
    <w:rsid w:val="00E733F6"/>
    <w:rsid w:val="00E73440"/>
    <w:rsid w:val="00E76EC1"/>
    <w:rsid w:val="00E809B2"/>
    <w:rsid w:val="00E81D51"/>
    <w:rsid w:val="00E910EB"/>
    <w:rsid w:val="00E92598"/>
    <w:rsid w:val="00E96C42"/>
    <w:rsid w:val="00EA09C6"/>
    <w:rsid w:val="00EA13E9"/>
    <w:rsid w:val="00EA40E4"/>
    <w:rsid w:val="00EA4470"/>
    <w:rsid w:val="00EB5DE1"/>
    <w:rsid w:val="00EC08BD"/>
    <w:rsid w:val="00EC1211"/>
    <w:rsid w:val="00EC3A6F"/>
    <w:rsid w:val="00EC4DA4"/>
    <w:rsid w:val="00EE38D0"/>
    <w:rsid w:val="00EE71E2"/>
    <w:rsid w:val="00EE7B33"/>
    <w:rsid w:val="00EF2504"/>
    <w:rsid w:val="00EF25A9"/>
    <w:rsid w:val="00EF587F"/>
    <w:rsid w:val="00EF5AD3"/>
    <w:rsid w:val="00F03766"/>
    <w:rsid w:val="00F04ECD"/>
    <w:rsid w:val="00F07075"/>
    <w:rsid w:val="00F0797A"/>
    <w:rsid w:val="00F146B9"/>
    <w:rsid w:val="00F257F9"/>
    <w:rsid w:val="00F25B69"/>
    <w:rsid w:val="00F25DE4"/>
    <w:rsid w:val="00F27AE2"/>
    <w:rsid w:val="00F3337A"/>
    <w:rsid w:val="00F36885"/>
    <w:rsid w:val="00F44838"/>
    <w:rsid w:val="00F50323"/>
    <w:rsid w:val="00F90B7A"/>
    <w:rsid w:val="00F953D4"/>
    <w:rsid w:val="00FA0CBC"/>
    <w:rsid w:val="00FA0EA5"/>
    <w:rsid w:val="00FA100F"/>
    <w:rsid w:val="00FA615D"/>
    <w:rsid w:val="00FB0D7A"/>
    <w:rsid w:val="00FB0EB0"/>
    <w:rsid w:val="00FB1B64"/>
    <w:rsid w:val="00FB5C25"/>
    <w:rsid w:val="00FC06C2"/>
    <w:rsid w:val="00FC4778"/>
    <w:rsid w:val="00FC5D7C"/>
    <w:rsid w:val="00FC6D96"/>
    <w:rsid w:val="00FD2C64"/>
    <w:rsid w:val="00FD30D6"/>
    <w:rsid w:val="00FE0EAC"/>
    <w:rsid w:val="00FF1B1B"/>
    <w:rsid w:val="00FF59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BC81E9B"/>
  <w15:docId w15:val="{9055C998-DA98-412F-83BE-F3566665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ase"/>
    <w:qFormat/>
    <w:pPr>
      <w:spacing w:after="140" w:line="280" w:lineRule="exact"/>
    </w:pPr>
    <w:rPr>
      <w:rFonts w:ascii="Verdana" w:hAnsi="Verdana"/>
      <w:lang w:eastAsia="en-GB"/>
    </w:rPr>
  </w:style>
  <w:style w:type="paragraph" w:styleId="Overskrift1">
    <w:name w:val="heading 1"/>
    <w:aliases w:val="H1"/>
    <w:basedOn w:val="Normal"/>
    <w:next w:val="Normal"/>
    <w:qFormat/>
    <w:rsid w:val="004F024D"/>
    <w:pPr>
      <w:keepNext/>
      <w:numPr>
        <w:numId w:val="1"/>
      </w:numPr>
      <w:spacing w:before="280"/>
      <w:outlineLvl w:val="0"/>
    </w:pPr>
    <w:rPr>
      <w:rFonts w:cs="Arial"/>
      <w:b/>
      <w:bCs/>
      <w:szCs w:val="22"/>
    </w:rPr>
  </w:style>
  <w:style w:type="paragraph" w:styleId="Overskrift2">
    <w:name w:val="heading 2"/>
    <w:aliases w:val="H2"/>
    <w:basedOn w:val="Normal"/>
    <w:next w:val="Normal"/>
    <w:qFormat/>
    <w:rsid w:val="004F024D"/>
    <w:pPr>
      <w:keepNext/>
      <w:numPr>
        <w:ilvl w:val="1"/>
        <w:numId w:val="1"/>
      </w:numPr>
      <w:outlineLvl w:val="1"/>
    </w:pPr>
    <w:rPr>
      <w:rFonts w:cs="Arial"/>
      <w:bCs/>
      <w:iCs/>
      <w:sz w:val="18"/>
      <w:szCs w:val="28"/>
    </w:rPr>
  </w:style>
  <w:style w:type="paragraph" w:styleId="Overskrift3">
    <w:name w:val="heading 3"/>
    <w:aliases w:val="H3"/>
    <w:basedOn w:val="Normal"/>
    <w:next w:val="Normal"/>
    <w:link w:val="Overskrift3Tegn"/>
    <w:qFormat/>
    <w:rsid w:val="00C22121"/>
    <w:pPr>
      <w:keepNext/>
      <w:numPr>
        <w:ilvl w:val="2"/>
        <w:numId w:val="1"/>
      </w:numPr>
      <w:spacing w:after="0"/>
      <w:outlineLvl w:val="2"/>
    </w:pPr>
    <w:rPr>
      <w:rFonts w:cs="Arial"/>
      <w:bCs/>
      <w:i/>
      <w:sz w:val="18"/>
      <w:szCs w:val="26"/>
    </w:rPr>
  </w:style>
  <w:style w:type="paragraph" w:styleId="Overskrift4">
    <w:name w:val="heading 4"/>
    <w:basedOn w:val="Normal"/>
    <w:next w:val="Normal"/>
    <w:qFormat/>
    <w:pPr>
      <w:keepNext/>
      <w:numPr>
        <w:ilvl w:val="3"/>
        <w:numId w:val="1"/>
      </w:numPr>
      <w:spacing w:before="240" w:after="60"/>
      <w:outlineLvl w:val="3"/>
    </w:pPr>
    <w:rPr>
      <w:bCs/>
    </w:rPr>
  </w:style>
  <w:style w:type="paragraph" w:styleId="Overskrift5">
    <w:name w:val="heading 5"/>
    <w:basedOn w:val="Normal"/>
    <w:next w:val="Normal"/>
    <w:qFormat/>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semiHidden/>
    <w:unhideWhenUsed/>
    <w:qFormat/>
    <w:rsid w:val="00982489"/>
    <w:pPr>
      <w:numPr>
        <w:ilvl w:val="5"/>
        <w:numId w:val="1"/>
      </w:num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982489"/>
    <w:pPr>
      <w:numPr>
        <w:ilvl w:val="6"/>
        <w:numId w:val="1"/>
      </w:num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982489"/>
    <w:pPr>
      <w:numPr>
        <w:ilvl w:val="7"/>
        <w:numId w:val="1"/>
      </w:num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982489"/>
    <w:pPr>
      <w:numPr>
        <w:ilvl w:val="8"/>
        <w:numId w:val="1"/>
      </w:num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PageTop"/>
    <w:basedOn w:val="Normal"/>
    <w:pPr>
      <w:tabs>
        <w:tab w:val="center" w:pos="4153"/>
        <w:tab w:val="right" w:pos="8306"/>
      </w:tabs>
    </w:pPr>
  </w:style>
  <w:style w:type="paragraph" w:styleId="Sidefod">
    <w:name w:val="footer"/>
    <w:aliases w:val="PageBottom"/>
    <w:basedOn w:val="Normal"/>
    <w:rPr>
      <w:sz w:val="16"/>
    </w:rPr>
  </w:style>
  <w:style w:type="paragraph" w:customStyle="1" w:styleId="Afsender">
    <w:name w:val="Afsender"/>
    <w:pPr>
      <w:widowControl w:val="0"/>
      <w:spacing w:line="280" w:lineRule="exact"/>
      <w:jc w:val="right"/>
    </w:pPr>
    <w:rPr>
      <w:rFonts w:ascii="Verdana" w:hAnsi="Verdana"/>
      <w:sz w:val="16"/>
      <w:szCs w:val="16"/>
      <w:lang w:eastAsia="en-GB"/>
    </w:rPr>
  </w:style>
  <w:style w:type="paragraph" w:customStyle="1" w:styleId="Modtager">
    <w:name w:val="Modtager"/>
    <w:basedOn w:val="Normal"/>
    <w:pPr>
      <w:tabs>
        <w:tab w:val="left" w:pos="2552"/>
      </w:tabs>
    </w:pPr>
  </w:style>
  <w:style w:type="character" w:styleId="Sidetal">
    <w:name w:val="page number"/>
    <w:basedOn w:val="Standardskrifttypeiafsnit"/>
  </w:style>
  <w:style w:type="paragraph" w:customStyle="1" w:styleId="RightBox">
    <w:name w:val="RightBox"/>
    <w:basedOn w:val="Normal"/>
    <w:pPr>
      <w:spacing w:after="0"/>
    </w:pPr>
    <w:rPr>
      <w:lang w:val="en-GB" w:eastAsia="da-DK"/>
    </w:rPr>
  </w:style>
  <w:style w:type="paragraph" w:styleId="Indholdsfortegnelse4">
    <w:name w:val="toc 4"/>
    <w:basedOn w:val="Normal"/>
    <w:next w:val="Normal"/>
    <w:autoRedefine/>
    <w:semiHidden/>
    <w:pPr>
      <w:ind w:left="600"/>
    </w:pPr>
  </w:style>
  <w:style w:type="paragraph" w:customStyle="1" w:styleId="Titeloverskrift">
    <w:name w:val="Titeloverskrift"/>
    <w:basedOn w:val="Overskrift1"/>
    <w:next w:val="Normal"/>
    <w:pPr>
      <w:outlineLvl w:val="9"/>
    </w:pPr>
  </w:style>
  <w:style w:type="paragraph" w:customStyle="1" w:styleId="Tabel">
    <w:name w:val="Tabel"/>
    <w:basedOn w:val="Normal"/>
    <w:rPr>
      <w:sz w:val="18"/>
    </w:rPr>
  </w:style>
  <w:style w:type="paragraph" w:styleId="Fodnotetekst">
    <w:name w:val="footnote text"/>
    <w:basedOn w:val="Normal"/>
    <w:link w:val="FodnotetekstTegn"/>
    <w:rPr>
      <w:sz w:val="16"/>
    </w:rPr>
  </w:style>
  <w:style w:type="paragraph" w:styleId="Indholdsfortegnelse1">
    <w:name w:val="toc 1"/>
    <w:basedOn w:val="Normal"/>
    <w:next w:val="Normal"/>
    <w:semiHidden/>
    <w:pPr>
      <w:spacing w:before="280"/>
    </w:pPr>
    <w:rPr>
      <w:b/>
    </w:rPr>
  </w:style>
  <w:style w:type="paragraph" w:customStyle="1" w:styleId="PunktListe">
    <w:name w:val="PunktListe"/>
    <w:basedOn w:val="Normal"/>
    <w:pPr>
      <w:spacing w:after="0"/>
    </w:pPr>
  </w:style>
  <w:style w:type="paragraph" w:styleId="Indholdsfortegnelse2">
    <w:name w:val="toc 2"/>
    <w:basedOn w:val="Normal"/>
    <w:next w:val="Normal"/>
    <w:semiHidden/>
  </w:style>
  <w:style w:type="paragraph" w:styleId="Indholdsfortegnelse3">
    <w:name w:val="toc 3"/>
    <w:basedOn w:val="Normal"/>
    <w:next w:val="Normal"/>
    <w:semiHidden/>
    <w:pPr>
      <w:tabs>
        <w:tab w:val="right" w:leader="dot" w:pos="7133"/>
      </w:tabs>
      <w:ind w:left="284"/>
    </w:pPr>
    <w:rPr>
      <w:i/>
    </w:rPr>
  </w:style>
  <w:style w:type="character" w:styleId="Fodnotehenvisning">
    <w:name w:val="footnote reference"/>
    <w:rsid w:val="00463798"/>
    <w:rPr>
      <w:vertAlign w:val="superscript"/>
    </w:rPr>
  </w:style>
  <w:style w:type="paragraph" w:styleId="Listeafsnit">
    <w:name w:val="List Paragraph"/>
    <w:basedOn w:val="Normal"/>
    <w:uiPriority w:val="34"/>
    <w:qFormat/>
    <w:rsid w:val="00616C20"/>
    <w:pPr>
      <w:overflowPunct w:val="0"/>
      <w:autoSpaceDE w:val="0"/>
      <w:autoSpaceDN w:val="0"/>
      <w:spacing w:after="0" w:line="360" w:lineRule="auto"/>
      <w:ind w:left="720"/>
      <w:jc w:val="both"/>
    </w:pPr>
    <w:rPr>
      <w:rFonts w:ascii="Tahoma" w:eastAsia="Calibri" w:hAnsi="Tahoma" w:cs="Tahoma"/>
      <w:spacing w:val="10"/>
      <w:lang w:eastAsia="da-DK"/>
    </w:rPr>
  </w:style>
  <w:style w:type="character" w:customStyle="1" w:styleId="Overskrift3Tegn">
    <w:name w:val="Overskrift 3 Tegn"/>
    <w:aliases w:val="H3 Tegn"/>
    <w:link w:val="Overskrift3"/>
    <w:rsid w:val="00C22121"/>
    <w:rPr>
      <w:rFonts w:ascii="Verdana" w:hAnsi="Verdana" w:cs="Arial"/>
      <w:bCs/>
      <w:i/>
      <w:sz w:val="18"/>
      <w:szCs w:val="26"/>
      <w:lang w:eastAsia="en-GB"/>
    </w:rPr>
  </w:style>
  <w:style w:type="paragraph" w:styleId="Markeringsbobletekst">
    <w:name w:val="Balloon Text"/>
    <w:basedOn w:val="Normal"/>
    <w:link w:val="MarkeringsbobletekstTegn"/>
    <w:rsid w:val="00113FE4"/>
    <w:pPr>
      <w:spacing w:after="0" w:line="240" w:lineRule="auto"/>
    </w:pPr>
    <w:rPr>
      <w:rFonts w:ascii="Tahoma" w:hAnsi="Tahoma" w:cs="Tahoma"/>
      <w:sz w:val="16"/>
      <w:szCs w:val="16"/>
    </w:rPr>
  </w:style>
  <w:style w:type="character" w:customStyle="1" w:styleId="MarkeringsbobletekstTegn">
    <w:name w:val="Markeringsbobletekst Tegn"/>
    <w:link w:val="Markeringsbobletekst"/>
    <w:rsid w:val="00113FE4"/>
    <w:rPr>
      <w:rFonts w:ascii="Tahoma" w:hAnsi="Tahoma" w:cs="Tahoma"/>
      <w:sz w:val="16"/>
      <w:szCs w:val="16"/>
      <w:lang w:eastAsia="en-GB"/>
    </w:rPr>
  </w:style>
  <w:style w:type="character" w:customStyle="1" w:styleId="Overskrift6Tegn">
    <w:name w:val="Overskrift 6 Tegn"/>
    <w:link w:val="Overskrift6"/>
    <w:semiHidden/>
    <w:rsid w:val="00982489"/>
    <w:rPr>
      <w:rFonts w:ascii="Calibri" w:hAnsi="Calibri"/>
      <w:b/>
      <w:bCs/>
      <w:sz w:val="22"/>
      <w:szCs w:val="22"/>
      <w:lang w:eastAsia="en-GB"/>
    </w:rPr>
  </w:style>
  <w:style w:type="character" w:customStyle="1" w:styleId="Overskrift7Tegn">
    <w:name w:val="Overskrift 7 Tegn"/>
    <w:link w:val="Overskrift7"/>
    <w:semiHidden/>
    <w:rsid w:val="00982489"/>
    <w:rPr>
      <w:rFonts w:ascii="Calibri" w:hAnsi="Calibri"/>
      <w:sz w:val="24"/>
      <w:szCs w:val="24"/>
      <w:lang w:eastAsia="en-GB"/>
    </w:rPr>
  </w:style>
  <w:style w:type="character" w:customStyle="1" w:styleId="Overskrift8Tegn">
    <w:name w:val="Overskrift 8 Tegn"/>
    <w:link w:val="Overskrift8"/>
    <w:semiHidden/>
    <w:rsid w:val="00982489"/>
    <w:rPr>
      <w:rFonts w:ascii="Calibri" w:hAnsi="Calibri"/>
      <w:i/>
      <w:iCs/>
      <w:sz w:val="24"/>
      <w:szCs w:val="24"/>
      <w:lang w:eastAsia="en-GB"/>
    </w:rPr>
  </w:style>
  <w:style w:type="character" w:customStyle="1" w:styleId="Overskrift9Tegn">
    <w:name w:val="Overskrift 9 Tegn"/>
    <w:link w:val="Overskrift9"/>
    <w:semiHidden/>
    <w:rsid w:val="00982489"/>
    <w:rPr>
      <w:rFonts w:ascii="Cambria" w:hAnsi="Cambria"/>
      <w:sz w:val="22"/>
      <w:szCs w:val="22"/>
      <w:lang w:eastAsia="en-GB"/>
    </w:rPr>
  </w:style>
  <w:style w:type="table" w:styleId="Tabel-Gitter">
    <w:name w:val="Table Grid"/>
    <w:basedOn w:val="Tabel-Normal"/>
    <w:rsid w:val="007B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F40E2"/>
    <w:rPr>
      <w:color w:val="0000FF"/>
      <w:u w:val="single"/>
    </w:rPr>
  </w:style>
  <w:style w:type="character" w:customStyle="1" w:styleId="apple-converted-space">
    <w:name w:val="apple-converted-space"/>
    <w:rsid w:val="002F40E2"/>
  </w:style>
  <w:style w:type="character" w:styleId="Strk">
    <w:name w:val="Strong"/>
    <w:uiPriority w:val="22"/>
    <w:qFormat/>
    <w:rsid w:val="002F40E2"/>
    <w:rPr>
      <w:b/>
      <w:bCs/>
    </w:rPr>
  </w:style>
  <w:style w:type="character" w:customStyle="1" w:styleId="result-title1">
    <w:name w:val="result-title1"/>
    <w:rsid w:val="003F79EB"/>
    <w:rPr>
      <w:b/>
      <w:bCs/>
      <w:vanish w:val="0"/>
      <w:webHidden w:val="0"/>
      <w:color w:val="4D4D4D"/>
      <w:sz w:val="17"/>
      <w:szCs w:val="17"/>
      <w:specVanish w:val="0"/>
    </w:rPr>
  </w:style>
  <w:style w:type="character" w:customStyle="1" w:styleId="sortable-date">
    <w:name w:val="sortable-date"/>
    <w:rsid w:val="001729EA"/>
  </w:style>
  <w:style w:type="character" w:customStyle="1" w:styleId="sortable-subject">
    <w:name w:val="sortable-subject"/>
    <w:rsid w:val="001729EA"/>
  </w:style>
  <w:style w:type="character" w:customStyle="1" w:styleId="result-item-date1">
    <w:name w:val="result-item-date1"/>
    <w:rsid w:val="001729EA"/>
  </w:style>
  <w:style w:type="character" w:customStyle="1" w:styleId="result-teaser1">
    <w:name w:val="result-teaser1"/>
    <w:rsid w:val="001729EA"/>
    <w:rPr>
      <w:vanish w:val="0"/>
      <w:webHidden w:val="0"/>
      <w:color w:val="999999"/>
      <w:specVanish w:val="0"/>
    </w:rPr>
  </w:style>
  <w:style w:type="paragraph" w:customStyle="1" w:styleId="paragraf">
    <w:name w:val="paragraf"/>
    <w:basedOn w:val="Normal"/>
    <w:rsid w:val="003B01F0"/>
    <w:pPr>
      <w:spacing w:before="200" w:after="0" w:line="240" w:lineRule="auto"/>
      <w:ind w:firstLine="240"/>
    </w:pPr>
    <w:rPr>
      <w:rFonts w:ascii="Tahoma" w:hAnsi="Tahoma" w:cs="Tahoma"/>
      <w:color w:val="000000"/>
      <w:sz w:val="24"/>
      <w:szCs w:val="24"/>
      <w:lang w:eastAsia="da-DK"/>
    </w:rPr>
  </w:style>
  <w:style w:type="paragraph" w:customStyle="1" w:styleId="stk2">
    <w:name w:val="stk2"/>
    <w:basedOn w:val="Normal"/>
    <w:rsid w:val="003B01F0"/>
    <w:pPr>
      <w:spacing w:after="0" w:line="240" w:lineRule="auto"/>
      <w:ind w:firstLine="240"/>
    </w:pPr>
    <w:rPr>
      <w:rFonts w:ascii="Tahoma" w:hAnsi="Tahoma" w:cs="Tahoma"/>
      <w:color w:val="000000"/>
      <w:sz w:val="24"/>
      <w:szCs w:val="24"/>
      <w:lang w:eastAsia="da-DK"/>
    </w:rPr>
  </w:style>
  <w:style w:type="character" w:customStyle="1" w:styleId="paragrafnr1">
    <w:name w:val="paragrafnr1"/>
    <w:rsid w:val="003B01F0"/>
    <w:rPr>
      <w:rFonts w:ascii="Tahoma" w:hAnsi="Tahoma" w:cs="Tahoma" w:hint="default"/>
      <w:b/>
      <w:bCs/>
      <w:color w:val="000000"/>
      <w:sz w:val="24"/>
      <w:szCs w:val="24"/>
      <w:shd w:val="clear" w:color="auto" w:fill="auto"/>
    </w:rPr>
  </w:style>
  <w:style w:type="character" w:customStyle="1" w:styleId="stknr1">
    <w:name w:val="stknr1"/>
    <w:rsid w:val="003B01F0"/>
    <w:rPr>
      <w:rFonts w:ascii="Tahoma" w:hAnsi="Tahoma" w:cs="Tahoma" w:hint="default"/>
      <w:i/>
      <w:iCs/>
      <w:color w:val="000000"/>
      <w:sz w:val="24"/>
      <w:szCs w:val="24"/>
      <w:shd w:val="clear" w:color="auto" w:fill="auto"/>
    </w:rPr>
  </w:style>
  <w:style w:type="character" w:customStyle="1" w:styleId="kortnavn2">
    <w:name w:val="kortnavn2"/>
    <w:rsid w:val="00E733F6"/>
    <w:rPr>
      <w:rFonts w:ascii="Tahoma" w:hAnsi="Tahoma" w:cs="Tahoma" w:hint="default"/>
      <w:color w:val="000000"/>
      <w:sz w:val="24"/>
      <w:szCs w:val="24"/>
      <w:shd w:val="clear" w:color="auto" w:fill="auto"/>
    </w:rPr>
  </w:style>
  <w:style w:type="paragraph" w:customStyle="1" w:styleId="titel2">
    <w:name w:val="titel2"/>
    <w:basedOn w:val="Normal"/>
    <w:rsid w:val="00E733F6"/>
    <w:pPr>
      <w:spacing w:before="200" w:after="200" w:line="240" w:lineRule="auto"/>
      <w:jc w:val="center"/>
    </w:pPr>
    <w:rPr>
      <w:rFonts w:ascii="Tahoma" w:hAnsi="Tahoma" w:cs="Tahoma"/>
      <w:color w:val="000000"/>
      <w:sz w:val="40"/>
      <w:szCs w:val="40"/>
      <w:lang w:eastAsia="da-DK"/>
    </w:rPr>
  </w:style>
  <w:style w:type="paragraph" w:customStyle="1" w:styleId="undertitel2">
    <w:name w:val="undertitel2"/>
    <w:basedOn w:val="Normal"/>
    <w:rsid w:val="00E733F6"/>
    <w:pPr>
      <w:spacing w:after="200" w:line="240" w:lineRule="auto"/>
      <w:jc w:val="center"/>
    </w:pPr>
    <w:rPr>
      <w:rFonts w:ascii="Tahoma" w:hAnsi="Tahoma" w:cs="Tahoma"/>
      <w:color w:val="000000"/>
      <w:sz w:val="24"/>
      <w:szCs w:val="24"/>
      <w:lang w:eastAsia="da-DK"/>
    </w:rPr>
  </w:style>
  <w:style w:type="paragraph" w:customStyle="1" w:styleId="tekst9">
    <w:name w:val="tekst9"/>
    <w:basedOn w:val="Normal"/>
    <w:rsid w:val="00C33E5D"/>
    <w:pPr>
      <w:spacing w:before="60" w:after="60" w:line="240" w:lineRule="auto"/>
      <w:ind w:firstLine="170"/>
      <w:jc w:val="both"/>
    </w:pPr>
    <w:rPr>
      <w:rFonts w:ascii="Tahoma" w:hAnsi="Tahoma" w:cs="Tahoma"/>
      <w:color w:val="000000"/>
      <w:sz w:val="24"/>
      <w:szCs w:val="24"/>
      <w:lang w:eastAsia="da-DK"/>
    </w:rPr>
  </w:style>
  <w:style w:type="paragraph" w:customStyle="1" w:styleId="tekstoverskriftvenstrebm">
    <w:name w:val="tekstoverskriftvenstrebm"/>
    <w:basedOn w:val="Normal"/>
    <w:rsid w:val="00C33E5D"/>
    <w:pPr>
      <w:keepNext/>
      <w:spacing w:before="240" w:after="0" w:line="240" w:lineRule="auto"/>
    </w:pPr>
    <w:rPr>
      <w:rFonts w:ascii="Tahoma" w:hAnsi="Tahoma" w:cs="Tahoma"/>
      <w:i/>
      <w:iCs/>
      <w:color w:val="000000"/>
      <w:sz w:val="24"/>
      <w:szCs w:val="24"/>
      <w:lang w:eastAsia="da-DK"/>
    </w:rPr>
  </w:style>
  <w:style w:type="paragraph" w:customStyle="1" w:styleId="Default">
    <w:name w:val="Default"/>
    <w:rsid w:val="00D83680"/>
    <w:pPr>
      <w:autoSpaceDE w:val="0"/>
      <w:autoSpaceDN w:val="0"/>
      <w:adjustRightInd w:val="0"/>
    </w:pPr>
    <w:rPr>
      <w:color w:val="000000"/>
      <w:sz w:val="24"/>
      <w:szCs w:val="24"/>
    </w:rPr>
  </w:style>
  <w:style w:type="paragraph" w:styleId="Titel">
    <w:name w:val="Title"/>
    <w:basedOn w:val="Normal"/>
    <w:next w:val="Normal"/>
    <w:link w:val="TitelTegn"/>
    <w:qFormat/>
    <w:rsid w:val="004E7E6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Tegn">
    <w:name w:val="Titel Tegn"/>
    <w:basedOn w:val="Standardskrifttypeiafsnit"/>
    <w:link w:val="Titel"/>
    <w:rsid w:val="004E7E69"/>
    <w:rPr>
      <w:rFonts w:asciiTheme="majorHAnsi" w:eastAsiaTheme="majorEastAsia" w:hAnsiTheme="majorHAnsi" w:cstheme="majorBidi"/>
      <w:b/>
      <w:bCs/>
      <w:kern w:val="28"/>
      <w:sz w:val="32"/>
      <w:szCs w:val="32"/>
      <w:lang w:eastAsia="en-GB"/>
    </w:rPr>
  </w:style>
  <w:style w:type="paragraph" w:styleId="Brdtekst">
    <w:name w:val="Body Text"/>
    <w:link w:val="BrdtekstTegn"/>
    <w:qFormat/>
    <w:rsid w:val="004E7E69"/>
    <w:pPr>
      <w:spacing w:before="120" w:line="260" w:lineRule="exact"/>
      <w:ind w:left="1418"/>
    </w:pPr>
    <w:rPr>
      <w:rFonts w:ascii="Verdana" w:hAnsi="Verdana"/>
      <w:lang w:val="en-GB" w:eastAsia="en-GB"/>
    </w:rPr>
  </w:style>
  <w:style w:type="character" w:customStyle="1" w:styleId="BrdtekstTegn">
    <w:name w:val="Brødtekst Tegn"/>
    <w:basedOn w:val="Standardskrifttypeiafsnit"/>
    <w:link w:val="Brdtekst"/>
    <w:rsid w:val="004E7E69"/>
    <w:rPr>
      <w:rFonts w:ascii="Verdana" w:hAnsi="Verdana"/>
      <w:lang w:val="en-GB" w:eastAsia="en-GB"/>
    </w:rPr>
  </w:style>
  <w:style w:type="character" w:customStyle="1" w:styleId="FodnotetekstTegn">
    <w:name w:val="Fodnotetekst Tegn"/>
    <w:link w:val="Fodnotetekst"/>
    <w:rsid w:val="004E7E69"/>
    <w:rPr>
      <w:rFonts w:ascii="Verdana" w:hAnsi="Verdana"/>
      <w:sz w:val="16"/>
      <w:lang w:eastAsia="en-GB"/>
    </w:rPr>
  </w:style>
  <w:style w:type="paragraph" w:styleId="Liste">
    <w:name w:val="List"/>
    <w:basedOn w:val="Normal"/>
    <w:qFormat/>
    <w:rsid w:val="00037E1F"/>
    <w:pPr>
      <w:numPr>
        <w:numId w:val="2"/>
      </w:numPr>
      <w:tabs>
        <w:tab w:val="left" w:pos="1775"/>
        <w:tab w:val="left" w:pos="2126"/>
      </w:tabs>
      <w:spacing w:after="0" w:line="260" w:lineRule="exact"/>
      <w:ind w:left="1775"/>
    </w:pPr>
    <w:rPr>
      <w:szCs w:val="24"/>
      <w:lang w:val="en-GB"/>
    </w:rPr>
  </w:style>
  <w:style w:type="paragraph" w:customStyle="1" w:styleId="CM1">
    <w:name w:val="CM1"/>
    <w:basedOn w:val="Default"/>
    <w:next w:val="Default"/>
    <w:uiPriority w:val="99"/>
    <w:rsid w:val="002658DC"/>
    <w:rPr>
      <w:rFonts w:ascii="EUAlbertina" w:hAnsi="EUAlbertina"/>
      <w:color w:val="auto"/>
    </w:rPr>
  </w:style>
  <w:style w:type="paragraph" w:customStyle="1" w:styleId="CM3">
    <w:name w:val="CM3"/>
    <w:basedOn w:val="Default"/>
    <w:next w:val="Default"/>
    <w:uiPriority w:val="99"/>
    <w:rsid w:val="002658DC"/>
    <w:rPr>
      <w:rFonts w:ascii="EUAlbertina" w:hAnsi="EUAlbertina"/>
      <w:color w:val="auto"/>
    </w:rPr>
  </w:style>
  <w:style w:type="paragraph" w:styleId="Korrektur">
    <w:name w:val="Revision"/>
    <w:hidden/>
    <w:uiPriority w:val="99"/>
    <w:semiHidden/>
    <w:rsid w:val="0022496B"/>
    <w:rPr>
      <w:rFonts w:ascii="Verdana" w:hAnsi="Verdan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9803">
      <w:bodyDiv w:val="1"/>
      <w:marLeft w:val="0"/>
      <w:marRight w:val="0"/>
      <w:marTop w:val="0"/>
      <w:marBottom w:val="0"/>
      <w:divBdr>
        <w:top w:val="none" w:sz="0" w:space="0" w:color="auto"/>
        <w:left w:val="none" w:sz="0" w:space="0" w:color="auto"/>
        <w:bottom w:val="none" w:sz="0" w:space="0" w:color="auto"/>
        <w:right w:val="none" w:sz="0" w:space="0" w:color="auto"/>
      </w:divBdr>
      <w:divsChild>
        <w:div w:id="1393968863">
          <w:marLeft w:val="0"/>
          <w:marRight w:val="0"/>
          <w:marTop w:val="0"/>
          <w:marBottom w:val="300"/>
          <w:divBdr>
            <w:top w:val="none" w:sz="0" w:space="0" w:color="auto"/>
            <w:left w:val="none" w:sz="0" w:space="0" w:color="auto"/>
            <w:bottom w:val="none" w:sz="0" w:space="0" w:color="auto"/>
            <w:right w:val="none" w:sz="0" w:space="0" w:color="auto"/>
          </w:divBdr>
          <w:divsChild>
            <w:div w:id="24209547">
              <w:marLeft w:val="0"/>
              <w:marRight w:val="0"/>
              <w:marTop w:val="0"/>
              <w:marBottom w:val="0"/>
              <w:divBdr>
                <w:top w:val="none" w:sz="0" w:space="0" w:color="auto"/>
                <w:left w:val="single" w:sz="6" w:space="1" w:color="FFFFFF"/>
                <w:bottom w:val="none" w:sz="0" w:space="0" w:color="auto"/>
                <w:right w:val="single" w:sz="6" w:space="1" w:color="FFFFFF"/>
              </w:divBdr>
              <w:divsChild>
                <w:div w:id="136991226">
                  <w:marLeft w:val="0"/>
                  <w:marRight w:val="0"/>
                  <w:marTop w:val="0"/>
                  <w:marBottom w:val="0"/>
                  <w:divBdr>
                    <w:top w:val="none" w:sz="0" w:space="0" w:color="auto"/>
                    <w:left w:val="none" w:sz="0" w:space="0" w:color="auto"/>
                    <w:bottom w:val="none" w:sz="0" w:space="0" w:color="auto"/>
                    <w:right w:val="none" w:sz="0" w:space="0" w:color="auto"/>
                  </w:divBdr>
                  <w:divsChild>
                    <w:div w:id="1014652271">
                      <w:marLeft w:val="0"/>
                      <w:marRight w:val="0"/>
                      <w:marTop w:val="0"/>
                      <w:marBottom w:val="0"/>
                      <w:divBdr>
                        <w:top w:val="none" w:sz="0" w:space="0" w:color="auto"/>
                        <w:left w:val="none" w:sz="0" w:space="0" w:color="auto"/>
                        <w:bottom w:val="none" w:sz="0" w:space="0" w:color="auto"/>
                        <w:right w:val="none" w:sz="0" w:space="0" w:color="auto"/>
                      </w:divBdr>
                      <w:divsChild>
                        <w:div w:id="711541019">
                          <w:marLeft w:val="0"/>
                          <w:marRight w:val="0"/>
                          <w:marTop w:val="0"/>
                          <w:marBottom w:val="0"/>
                          <w:divBdr>
                            <w:top w:val="none" w:sz="0" w:space="0" w:color="auto"/>
                            <w:left w:val="none" w:sz="0" w:space="0" w:color="auto"/>
                            <w:bottom w:val="none" w:sz="0" w:space="0" w:color="auto"/>
                            <w:right w:val="none" w:sz="0" w:space="0" w:color="auto"/>
                          </w:divBdr>
                          <w:divsChild>
                            <w:div w:id="161046269">
                              <w:marLeft w:val="0"/>
                              <w:marRight w:val="0"/>
                              <w:marTop w:val="0"/>
                              <w:marBottom w:val="0"/>
                              <w:divBdr>
                                <w:top w:val="none" w:sz="0" w:space="0" w:color="auto"/>
                                <w:left w:val="none" w:sz="0" w:space="0" w:color="auto"/>
                                <w:bottom w:val="none" w:sz="0" w:space="0" w:color="auto"/>
                                <w:right w:val="none" w:sz="0" w:space="0" w:color="auto"/>
                              </w:divBdr>
                              <w:divsChild>
                                <w:div w:id="639269600">
                                  <w:marLeft w:val="0"/>
                                  <w:marRight w:val="0"/>
                                  <w:marTop w:val="0"/>
                                  <w:marBottom w:val="0"/>
                                  <w:divBdr>
                                    <w:top w:val="none" w:sz="0" w:space="0" w:color="auto"/>
                                    <w:left w:val="none" w:sz="0" w:space="0" w:color="auto"/>
                                    <w:bottom w:val="none" w:sz="0" w:space="0" w:color="auto"/>
                                    <w:right w:val="none" w:sz="0" w:space="0" w:color="auto"/>
                                  </w:divBdr>
                                  <w:divsChild>
                                    <w:div w:id="13579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174">
      <w:bodyDiv w:val="1"/>
      <w:marLeft w:val="0"/>
      <w:marRight w:val="0"/>
      <w:marTop w:val="0"/>
      <w:marBottom w:val="0"/>
      <w:divBdr>
        <w:top w:val="none" w:sz="0" w:space="0" w:color="auto"/>
        <w:left w:val="none" w:sz="0" w:space="0" w:color="auto"/>
        <w:bottom w:val="none" w:sz="0" w:space="0" w:color="auto"/>
        <w:right w:val="none" w:sz="0" w:space="0" w:color="auto"/>
      </w:divBdr>
      <w:divsChild>
        <w:div w:id="688028527">
          <w:marLeft w:val="0"/>
          <w:marRight w:val="0"/>
          <w:marTop w:val="0"/>
          <w:marBottom w:val="300"/>
          <w:divBdr>
            <w:top w:val="none" w:sz="0" w:space="0" w:color="auto"/>
            <w:left w:val="none" w:sz="0" w:space="0" w:color="auto"/>
            <w:bottom w:val="none" w:sz="0" w:space="0" w:color="auto"/>
            <w:right w:val="none" w:sz="0" w:space="0" w:color="auto"/>
          </w:divBdr>
          <w:divsChild>
            <w:div w:id="324935593">
              <w:marLeft w:val="0"/>
              <w:marRight w:val="0"/>
              <w:marTop w:val="0"/>
              <w:marBottom w:val="0"/>
              <w:divBdr>
                <w:top w:val="none" w:sz="0" w:space="0" w:color="auto"/>
                <w:left w:val="single" w:sz="6" w:space="1" w:color="FFFFFF"/>
                <w:bottom w:val="none" w:sz="0" w:space="0" w:color="auto"/>
                <w:right w:val="single" w:sz="6" w:space="1" w:color="FFFFFF"/>
              </w:divBdr>
              <w:divsChild>
                <w:div w:id="1989937260">
                  <w:marLeft w:val="0"/>
                  <w:marRight w:val="0"/>
                  <w:marTop w:val="0"/>
                  <w:marBottom w:val="0"/>
                  <w:divBdr>
                    <w:top w:val="none" w:sz="0" w:space="0" w:color="auto"/>
                    <w:left w:val="none" w:sz="0" w:space="0" w:color="auto"/>
                    <w:bottom w:val="none" w:sz="0" w:space="0" w:color="auto"/>
                    <w:right w:val="none" w:sz="0" w:space="0" w:color="auto"/>
                  </w:divBdr>
                  <w:divsChild>
                    <w:div w:id="1606812355">
                      <w:marLeft w:val="0"/>
                      <w:marRight w:val="0"/>
                      <w:marTop w:val="0"/>
                      <w:marBottom w:val="0"/>
                      <w:divBdr>
                        <w:top w:val="none" w:sz="0" w:space="0" w:color="auto"/>
                        <w:left w:val="none" w:sz="0" w:space="0" w:color="auto"/>
                        <w:bottom w:val="none" w:sz="0" w:space="0" w:color="auto"/>
                        <w:right w:val="none" w:sz="0" w:space="0" w:color="auto"/>
                      </w:divBdr>
                      <w:divsChild>
                        <w:div w:id="77942672">
                          <w:marLeft w:val="0"/>
                          <w:marRight w:val="0"/>
                          <w:marTop w:val="0"/>
                          <w:marBottom w:val="0"/>
                          <w:divBdr>
                            <w:top w:val="none" w:sz="0" w:space="0" w:color="auto"/>
                            <w:left w:val="none" w:sz="0" w:space="0" w:color="auto"/>
                            <w:bottom w:val="none" w:sz="0" w:space="0" w:color="auto"/>
                            <w:right w:val="none" w:sz="0" w:space="0" w:color="auto"/>
                          </w:divBdr>
                          <w:divsChild>
                            <w:div w:id="1985309333">
                              <w:marLeft w:val="0"/>
                              <w:marRight w:val="0"/>
                              <w:marTop w:val="0"/>
                              <w:marBottom w:val="0"/>
                              <w:divBdr>
                                <w:top w:val="none" w:sz="0" w:space="0" w:color="auto"/>
                                <w:left w:val="none" w:sz="0" w:space="0" w:color="auto"/>
                                <w:bottom w:val="none" w:sz="0" w:space="0" w:color="auto"/>
                                <w:right w:val="none" w:sz="0" w:space="0" w:color="auto"/>
                              </w:divBdr>
                              <w:divsChild>
                                <w:div w:id="1957905599">
                                  <w:marLeft w:val="0"/>
                                  <w:marRight w:val="0"/>
                                  <w:marTop w:val="0"/>
                                  <w:marBottom w:val="0"/>
                                  <w:divBdr>
                                    <w:top w:val="none" w:sz="0" w:space="0" w:color="auto"/>
                                    <w:left w:val="none" w:sz="0" w:space="0" w:color="auto"/>
                                    <w:bottom w:val="none" w:sz="0" w:space="0" w:color="auto"/>
                                    <w:right w:val="none" w:sz="0" w:space="0" w:color="auto"/>
                                  </w:divBdr>
                                  <w:divsChild>
                                    <w:div w:id="10318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4368">
      <w:bodyDiv w:val="1"/>
      <w:marLeft w:val="0"/>
      <w:marRight w:val="0"/>
      <w:marTop w:val="0"/>
      <w:marBottom w:val="0"/>
      <w:divBdr>
        <w:top w:val="none" w:sz="0" w:space="0" w:color="auto"/>
        <w:left w:val="none" w:sz="0" w:space="0" w:color="auto"/>
        <w:bottom w:val="none" w:sz="0" w:space="0" w:color="auto"/>
        <w:right w:val="none" w:sz="0" w:space="0" w:color="auto"/>
      </w:divBdr>
    </w:div>
    <w:div w:id="386297940">
      <w:bodyDiv w:val="1"/>
      <w:marLeft w:val="0"/>
      <w:marRight w:val="0"/>
      <w:marTop w:val="0"/>
      <w:marBottom w:val="0"/>
      <w:divBdr>
        <w:top w:val="none" w:sz="0" w:space="0" w:color="auto"/>
        <w:left w:val="none" w:sz="0" w:space="0" w:color="auto"/>
        <w:bottom w:val="none" w:sz="0" w:space="0" w:color="auto"/>
        <w:right w:val="none" w:sz="0" w:space="0" w:color="auto"/>
      </w:divBdr>
    </w:div>
    <w:div w:id="450981140">
      <w:bodyDiv w:val="1"/>
      <w:marLeft w:val="0"/>
      <w:marRight w:val="0"/>
      <w:marTop w:val="0"/>
      <w:marBottom w:val="0"/>
      <w:divBdr>
        <w:top w:val="none" w:sz="0" w:space="0" w:color="auto"/>
        <w:left w:val="none" w:sz="0" w:space="0" w:color="auto"/>
        <w:bottom w:val="none" w:sz="0" w:space="0" w:color="auto"/>
        <w:right w:val="none" w:sz="0" w:space="0" w:color="auto"/>
      </w:divBdr>
      <w:divsChild>
        <w:div w:id="1865626943">
          <w:marLeft w:val="0"/>
          <w:marRight w:val="0"/>
          <w:marTop w:val="0"/>
          <w:marBottom w:val="0"/>
          <w:divBdr>
            <w:top w:val="none" w:sz="0" w:space="0" w:color="auto"/>
            <w:left w:val="none" w:sz="0" w:space="0" w:color="auto"/>
            <w:bottom w:val="none" w:sz="0" w:space="0" w:color="auto"/>
            <w:right w:val="none" w:sz="0" w:space="0" w:color="auto"/>
          </w:divBdr>
        </w:div>
      </w:divsChild>
    </w:div>
    <w:div w:id="559443953">
      <w:bodyDiv w:val="1"/>
      <w:marLeft w:val="0"/>
      <w:marRight w:val="0"/>
      <w:marTop w:val="0"/>
      <w:marBottom w:val="0"/>
      <w:divBdr>
        <w:top w:val="none" w:sz="0" w:space="0" w:color="auto"/>
        <w:left w:val="none" w:sz="0" w:space="0" w:color="auto"/>
        <w:bottom w:val="none" w:sz="0" w:space="0" w:color="auto"/>
        <w:right w:val="none" w:sz="0" w:space="0" w:color="auto"/>
      </w:divBdr>
    </w:div>
    <w:div w:id="836774866">
      <w:bodyDiv w:val="1"/>
      <w:marLeft w:val="0"/>
      <w:marRight w:val="0"/>
      <w:marTop w:val="0"/>
      <w:marBottom w:val="0"/>
      <w:divBdr>
        <w:top w:val="none" w:sz="0" w:space="0" w:color="auto"/>
        <w:left w:val="none" w:sz="0" w:space="0" w:color="auto"/>
        <w:bottom w:val="none" w:sz="0" w:space="0" w:color="auto"/>
        <w:right w:val="none" w:sz="0" w:space="0" w:color="auto"/>
      </w:divBdr>
      <w:divsChild>
        <w:div w:id="424573184">
          <w:marLeft w:val="0"/>
          <w:marRight w:val="0"/>
          <w:marTop w:val="0"/>
          <w:marBottom w:val="0"/>
          <w:divBdr>
            <w:top w:val="none" w:sz="0" w:space="0" w:color="auto"/>
            <w:left w:val="none" w:sz="0" w:space="0" w:color="auto"/>
            <w:bottom w:val="none" w:sz="0" w:space="0" w:color="auto"/>
            <w:right w:val="none" w:sz="0" w:space="0" w:color="auto"/>
          </w:divBdr>
          <w:divsChild>
            <w:div w:id="101503730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862013158">
      <w:bodyDiv w:val="1"/>
      <w:marLeft w:val="0"/>
      <w:marRight w:val="0"/>
      <w:marTop w:val="0"/>
      <w:marBottom w:val="0"/>
      <w:divBdr>
        <w:top w:val="none" w:sz="0" w:space="0" w:color="auto"/>
        <w:left w:val="none" w:sz="0" w:space="0" w:color="auto"/>
        <w:bottom w:val="none" w:sz="0" w:space="0" w:color="auto"/>
        <w:right w:val="none" w:sz="0" w:space="0" w:color="auto"/>
      </w:divBdr>
    </w:div>
    <w:div w:id="1196121449">
      <w:bodyDiv w:val="1"/>
      <w:marLeft w:val="0"/>
      <w:marRight w:val="0"/>
      <w:marTop w:val="0"/>
      <w:marBottom w:val="0"/>
      <w:divBdr>
        <w:top w:val="none" w:sz="0" w:space="0" w:color="auto"/>
        <w:left w:val="none" w:sz="0" w:space="0" w:color="auto"/>
        <w:bottom w:val="none" w:sz="0" w:space="0" w:color="auto"/>
        <w:right w:val="none" w:sz="0" w:space="0" w:color="auto"/>
      </w:divBdr>
    </w:div>
    <w:div w:id="1254313569">
      <w:bodyDiv w:val="1"/>
      <w:marLeft w:val="0"/>
      <w:marRight w:val="0"/>
      <w:marTop w:val="0"/>
      <w:marBottom w:val="0"/>
      <w:divBdr>
        <w:top w:val="none" w:sz="0" w:space="0" w:color="auto"/>
        <w:left w:val="none" w:sz="0" w:space="0" w:color="auto"/>
        <w:bottom w:val="none" w:sz="0" w:space="0" w:color="auto"/>
        <w:right w:val="none" w:sz="0" w:space="0" w:color="auto"/>
      </w:divBdr>
    </w:div>
    <w:div w:id="1809395209">
      <w:bodyDiv w:val="1"/>
      <w:marLeft w:val="0"/>
      <w:marRight w:val="0"/>
      <w:marTop w:val="0"/>
      <w:marBottom w:val="0"/>
      <w:divBdr>
        <w:top w:val="none" w:sz="0" w:space="0" w:color="auto"/>
        <w:left w:val="none" w:sz="0" w:space="0" w:color="auto"/>
        <w:bottom w:val="none" w:sz="0" w:space="0" w:color="auto"/>
        <w:right w:val="none" w:sz="0" w:space="0" w:color="auto"/>
      </w:divBdr>
      <w:divsChild>
        <w:div w:id="915701591">
          <w:marLeft w:val="0"/>
          <w:marRight w:val="0"/>
          <w:marTop w:val="0"/>
          <w:marBottom w:val="0"/>
          <w:divBdr>
            <w:top w:val="none" w:sz="0" w:space="0" w:color="auto"/>
            <w:left w:val="none" w:sz="0" w:space="0" w:color="auto"/>
            <w:bottom w:val="none" w:sz="0" w:space="0" w:color="auto"/>
            <w:right w:val="none" w:sz="0" w:space="0" w:color="auto"/>
          </w:divBdr>
          <w:divsChild>
            <w:div w:id="1482070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08437890">
      <w:bodyDiv w:val="1"/>
      <w:marLeft w:val="0"/>
      <w:marRight w:val="0"/>
      <w:marTop w:val="0"/>
      <w:marBottom w:val="0"/>
      <w:divBdr>
        <w:top w:val="none" w:sz="0" w:space="0" w:color="auto"/>
        <w:left w:val="none" w:sz="0" w:space="0" w:color="auto"/>
        <w:bottom w:val="none" w:sz="0" w:space="0" w:color="auto"/>
        <w:right w:val="none" w:sz="0" w:space="0" w:color="auto"/>
      </w:divBdr>
      <w:divsChild>
        <w:div w:id="851260299">
          <w:marLeft w:val="0"/>
          <w:marRight w:val="0"/>
          <w:marTop w:val="0"/>
          <w:marBottom w:val="300"/>
          <w:divBdr>
            <w:top w:val="none" w:sz="0" w:space="0" w:color="auto"/>
            <w:left w:val="none" w:sz="0" w:space="0" w:color="auto"/>
            <w:bottom w:val="none" w:sz="0" w:space="0" w:color="auto"/>
            <w:right w:val="none" w:sz="0" w:space="0" w:color="auto"/>
          </w:divBdr>
          <w:divsChild>
            <w:div w:id="1942832758">
              <w:marLeft w:val="0"/>
              <w:marRight w:val="0"/>
              <w:marTop w:val="0"/>
              <w:marBottom w:val="0"/>
              <w:divBdr>
                <w:top w:val="none" w:sz="0" w:space="0" w:color="auto"/>
                <w:left w:val="single" w:sz="6" w:space="1" w:color="FFFFFF"/>
                <w:bottom w:val="none" w:sz="0" w:space="0" w:color="auto"/>
                <w:right w:val="single" w:sz="6" w:space="1" w:color="FFFFFF"/>
              </w:divBdr>
              <w:divsChild>
                <w:div w:id="1076364188">
                  <w:marLeft w:val="0"/>
                  <w:marRight w:val="0"/>
                  <w:marTop w:val="0"/>
                  <w:marBottom w:val="0"/>
                  <w:divBdr>
                    <w:top w:val="none" w:sz="0" w:space="0" w:color="auto"/>
                    <w:left w:val="none" w:sz="0" w:space="0" w:color="auto"/>
                    <w:bottom w:val="none" w:sz="0" w:space="0" w:color="auto"/>
                    <w:right w:val="none" w:sz="0" w:space="0" w:color="auto"/>
                  </w:divBdr>
                  <w:divsChild>
                    <w:div w:id="664019485">
                      <w:marLeft w:val="0"/>
                      <w:marRight w:val="0"/>
                      <w:marTop w:val="0"/>
                      <w:marBottom w:val="0"/>
                      <w:divBdr>
                        <w:top w:val="none" w:sz="0" w:space="0" w:color="auto"/>
                        <w:left w:val="none" w:sz="0" w:space="0" w:color="auto"/>
                        <w:bottom w:val="none" w:sz="0" w:space="0" w:color="auto"/>
                        <w:right w:val="none" w:sz="0" w:space="0" w:color="auto"/>
                      </w:divBdr>
                      <w:divsChild>
                        <w:div w:id="1896812806">
                          <w:marLeft w:val="0"/>
                          <w:marRight w:val="0"/>
                          <w:marTop w:val="0"/>
                          <w:marBottom w:val="0"/>
                          <w:divBdr>
                            <w:top w:val="none" w:sz="0" w:space="0" w:color="auto"/>
                            <w:left w:val="none" w:sz="0" w:space="0" w:color="auto"/>
                            <w:bottom w:val="none" w:sz="0" w:space="0" w:color="auto"/>
                            <w:right w:val="none" w:sz="0" w:space="0" w:color="auto"/>
                          </w:divBdr>
                          <w:divsChild>
                            <w:div w:id="2076971132">
                              <w:marLeft w:val="0"/>
                              <w:marRight w:val="0"/>
                              <w:marTop w:val="0"/>
                              <w:marBottom w:val="0"/>
                              <w:divBdr>
                                <w:top w:val="none" w:sz="0" w:space="0" w:color="auto"/>
                                <w:left w:val="none" w:sz="0" w:space="0" w:color="auto"/>
                                <w:bottom w:val="none" w:sz="0" w:space="0" w:color="auto"/>
                                <w:right w:val="none" w:sz="0" w:space="0" w:color="auto"/>
                              </w:divBdr>
                              <w:divsChild>
                                <w:div w:id="382561694">
                                  <w:marLeft w:val="0"/>
                                  <w:marRight w:val="0"/>
                                  <w:marTop w:val="0"/>
                                  <w:marBottom w:val="0"/>
                                  <w:divBdr>
                                    <w:top w:val="none" w:sz="0" w:space="0" w:color="auto"/>
                                    <w:left w:val="none" w:sz="0" w:space="0" w:color="auto"/>
                                    <w:bottom w:val="none" w:sz="0" w:space="0" w:color="auto"/>
                                    <w:right w:val="none" w:sz="0" w:space="0" w:color="auto"/>
                                  </w:divBdr>
                                  <w:divsChild>
                                    <w:div w:id="17833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982D2-60F9-42F3-AFD7-60B3F8EA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Pages>
  <Words>1385</Words>
  <Characters>8455</Characters>
  <Application>Microsoft Office Word</Application>
  <DocSecurity>0</DocSecurity>
  <PresentationFormat>NotatX</PresentationFormat>
  <Lines>70</Lines>
  <Paragraphs>19</Paragraphs>
  <ScaleCrop>false</ScaleCrop>
  <HeadingPairs>
    <vt:vector size="2" baseType="variant">
      <vt:variant>
        <vt:lpstr>Titel</vt:lpstr>
      </vt:variant>
      <vt:variant>
        <vt:i4>1</vt:i4>
      </vt:variant>
    </vt:vector>
  </HeadingPairs>
  <TitlesOfParts>
    <vt:vector size="1" baseType="lpstr">
      <vt:lpstr>Banedanmark</vt:lpstr>
    </vt:vector>
  </TitlesOfParts>
  <Company>Trafikstyrelsen</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Banedanmark</dc:title>
  <dc:creator>Emilie Andersen</dc:creator>
  <dc:description>version 06.05.2009_x000d_
www.informatique.dk</dc:description>
  <cp:lastModifiedBy>Jonas Michael Refn</cp:lastModifiedBy>
  <cp:revision>58</cp:revision>
  <cp:lastPrinted>2024-10-31T10:56:00Z</cp:lastPrinted>
  <dcterms:created xsi:type="dcterms:W3CDTF">2024-06-12T07:15:00Z</dcterms:created>
  <dcterms:modified xsi:type="dcterms:W3CDTF">2025-03-04T09:40:00Z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C:\skabeloner\Trafik.dot</vt:lpwstr>
  </property>
  <property fmtid="{D5CDD505-2E9C-101B-9397-08002B2CF9AE}" pid="3" name="title">
    <vt:lpwstr/>
  </property>
  <property fmtid="{D5CDD505-2E9C-101B-9397-08002B2CF9AE}" pid="4" name="command">
    <vt:lpwstr/>
  </property>
</Properties>
</file>